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adjustRightInd w:val="0"/>
        <w:snapToGrid w:val="0"/>
        <w:spacing w:before="0" w:beforeAutospacing="0" w:after="0" w:afterAutospacing="0"/>
        <w:ind w:firstLine="180"/>
        <w:jc w:val="center"/>
        <w:rPr>
          <w:rFonts w:ascii="黑体" w:hAnsi="黑体" w:eastAsia="黑体" w:cs="黑体"/>
          <w:b/>
          <w:bCs/>
          <w:spacing w:val="20"/>
          <w:kern w:val="2"/>
          <w:sz w:val="44"/>
          <w:szCs w:val="44"/>
        </w:rPr>
      </w:pPr>
      <w:r>
        <w:rPr>
          <w:rFonts w:hint="eastAsia" w:ascii="黑体" w:hAnsi="黑体" w:eastAsia="黑体" w:cs="黑体"/>
          <w:b/>
          <w:bCs/>
          <w:spacing w:val="20"/>
          <w:kern w:val="2"/>
          <w:sz w:val="44"/>
          <w:szCs w:val="44"/>
        </w:rPr>
        <w:t>标的简要介绍</w:t>
      </w:r>
    </w:p>
    <w:p>
      <w:pPr>
        <w:pStyle w:val="8"/>
        <w:shd w:val="clear" w:color="auto" w:fill="FFFFFF"/>
        <w:adjustRightInd w:val="0"/>
        <w:snapToGrid w:val="0"/>
        <w:spacing w:before="0" w:beforeAutospacing="0" w:after="0" w:afterAutospacing="0"/>
        <w:ind w:firstLine="180"/>
        <w:jc w:val="center"/>
        <w:rPr>
          <w:rFonts w:ascii="黑体" w:hAnsi="黑体" w:eastAsia="黑体" w:cs="黑体"/>
          <w:b/>
          <w:bCs/>
          <w:spacing w:val="20"/>
          <w:kern w:val="2"/>
          <w:sz w:val="44"/>
          <w:szCs w:val="44"/>
        </w:rPr>
      </w:pPr>
    </w:p>
    <w:tbl>
      <w:tblPr>
        <w:tblStyle w:val="9"/>
        <w:tblW w:w="9026" w:type="dxa"/>
        <w:jc w:val="center"/>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433"/>
        <w:gridCol w:w="2217"/>
        <w:gridCol w:w="5376"/>
      </w:tblGrid>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39" w:hRule="atLeast"/>
          <w:jc w:val="center"/>
        </w:trPr>
        <w:tc>
          <w:tcPr>
            <w:tcW w:w="14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标的物名称</w:t>
            </w:r>
          </w:p>
        </w:tc>
        <w:tc>
          <w:tcPr>
            <w:tcW w:w="7593"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spacing w:line="252"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汤浦水库清淤扩容工程中产生的，柯桥区平水镇西岙口堆料场指定区域内的砂石统料共计20万m³，可利用和不可利用物料整体拍卖</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43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处置依据</w:t>
            </w:r>
          </w:p>
        </w:tc>
        <w:tc>
          <w:tcPr>
            <w:tcW w:w="7593"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jc w:val="center"/>
              <w:rPr>
                <w:rFonts w:ascii="仿宋" w:hAnsi="仿宋" w:eastAsia="仿宋" w:cs="仿宋"/>
                <w:color w:val="000000"/>
              </w:rPr>
            </w:pPr>
            <w:r>
              <w:rPr>
                <w:rFonts w:hint="eastAsia" w:ascii="仿宋" w:hAnsi="仿宋" w:eastAsia="仿宋" w:cs="仿宋"/>
                <w:color w:val="000000"/>
              </w:rPr>
              <w:t>委托拍卖合同</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36" w:hRule="atLeast"/>
          <w:jc w:val="center"/>
        </w:trPr>
        <w:tc>
          <w:tcPr>
            <w:tcW w:w="1433" w:type="dxa"/>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shd w:val="clear" w:color="auto" w:fill="FFFFFF"/>
              </w:rPr>
              <w:t>标的物数量</w:t>
            </w:r>
          </w:p>
        </w:tc>
        <w:tc>
          <w:tcPr>
            <w:tcW w:w="7593"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adjustRightInd w:val="0"/>
              <w:snapToGrid w:val="0"/>
              <w:spacing w:line="252" w:lineRule="auto"/>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次拍卖的砂石统料共计20万m³，拍卖成交后形成的买卖合同货款总价（拍卖成交款=200000×成交单价）。双方买卖合同履行完毕前，因买卖合同中履行方量结算条款，导致合同货款总价调整的，按《买卖合同》（样稿）“二、供应及质量合同”中约定条款履行。</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44" w:hRule="atLeast"/>
          <w:jc w:val="center"/>
        </w:trPr>
        <w:tc>
          <w:tcPr>
            <w:tcW w:w="1433" w:type="dxa"/>
            <w:tcBorders>
              <w:top w:val="single" w:color="auto" w:sz="4"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标的物现状</w:t>
            </w:r>
          </w:p>
        </w:tc>
        <w:tc>
          <w:tcPr>
            <w:tcW w:w="7593" w:type="dxa"/>
            <w:gridSpan w:val="2"/>
            <w:tcBorders>
              <w:top w:val="nil"/>
              <w:left w:val="nil"/>
              <w:bottom w:val="single" w:color="000000" w:sz="8" w:space="0"/>
              <w:right w:val="single" w:color="auto" w:sz="8" w:space="0"/>
            </w:tcBorders>
            <w:shd w:val="clear" w:color="auto" w:fill="FFFFFF"/>
            <w:tcMar>
              <w:top w:w="0" w:type="dxa"/>
              <w:left w:w="0" w:type="dxa"/>
              <w:bottom w:w="0" w:type="dxa"/>
              <w:right w:w="0" w:type="dxa"/>
            </w:tcMar>
            <w:vAlign w:val="center"/>
          </w:tcPr>
          <w:p>
            <w:pPr>
              <w:widowControl/>
              <w:adjustRightInd w:val="0"/>
              <w:snapToGrid w:val="0"/>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汤浦水库清淤扩容工程中产生的，堆放于柯桥区平水镇西岙口堆料场指定区域内的砂石统料共计20万m³。  </w:t>
            </w:r>
          </w:p>
          <w:p>
            <w:pPr>
              <w:pStyle w:val="2"/>
              <w:ind w:firstLine="480" w:firstLineChars="200"/>
              <w:rPr>
                <w:rFonts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rPr>
              <w:t xml:space="preserve">本次拍卖标的，形态特征、品质状况、缺陷情况、松散系数、抗压强度、含水率、成分类型、成分比例、地质情况、含泥废料等不可利用的夹杂物含量占比、实际可利用率等均以移交时的实物现状为准，为带瑕疵的拍卖。  </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4" w:hRule="atLeast"/>
          <w:jc w:val="center"/>
        </w:trPr>
        <w:tc>
          <w:tcPr>
            <w:tcW w:w="1433"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合同履行期要求</w:t>
            </w:r>
          </w:p>
        </w:tc>
        <w:tc>
          <w:tcPr>
            <w:tcW w:w="7593"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买受人在付清所有拍卖应付款项（含逾期缴款滞纳金）并签订合同后，方可具备提货条件。合同签订之日起第5个日历天开始计算，买受人作业及装运时间。买受人进度应满足委托人的要求，提货期限为130个日历天。具体详见《买卖合同》（样稿）等拍卖附件。</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40" w:hRule="atLeast"/>
          <w:jc w:val="center"/>
        </w:trPr>
        <w:tc>
          <w:tcPr>
            <w:tcW w:w="1433" w:type="dxa"/>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拍卖附件</w:t>
            </w:r>
          </w:p>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及可查阅的资料</w:t>
            </w:r>
          </w:p>
        </w:tc>
        <w:tc>
          <w:tcPr>
            <w:tcW w:w="7593" w:type="dxa"/>
            <w:gridSpan w:val="2"/>
            <w:tcBorders>
              <w:top w:val="nil"/>
              <w:left w:val="nil"/>
              <w:bottom w:val="single" w:color="auto" w:sz="4"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ind w:firstLine="480" w:firstLineChars="200"/>
              <w:rPr>
                <w:rFonts w:ascii="仿宋" w:hAnsi="仿宋" w:eastAsia="仿宋" w:cs="仿宋"/>
                <w:color w:val="000000"/>
              </w:rPr>
            </w:pPr>
            <w:r>
              <w:rPr>
                <w:rFonts w:hint="eastAsia" w:ascii="仿宋" w:hAnsi="仿宋" w:eastAsia="仿宋" w:cs="仿宋"/>
                <w:color w:val="000000"/>
              </w:rPr>
              <w:t>拍卖附件:《买卖合同》（样稿）、《补充合同》（样稿）、《廉洁承诺》、《安全环保协议》（样稿）、</w:t>
            </w:r>
            <w:r>
              <w:rPr>
                <w:rFonts w:hint="eastAsia" w:ascii="仿宋" w:hAnsi="仿宋" w:eastAsia="仿宋" w:cs="仿宋"/>
              </w:rPr>
              <w:t>《西岙口堆料场砂石统料首测方量测量（按清表后计算）》、《西岙口堆料场砂石统料首测方量测量(按平场标高30米计算)》</w:t>
            </w:r>
            <w:r>
              <w:rPr>
                <w:rFonts w:hint="eastAsia" w:ascii="仿宋" w:hAnsi="仿宋" w:eastAsia="仿宋" w:cs="仿宋"/>
                <w:color w:val="000000"/>
              </w:rPr>
              <w:t>线上自行下载。</w:t>
            </w:r>
          </w:p>
          <w:p>
            <w:pPr>
              <w:pStyle w:val="8"/>
              <w:adjustRightInd w:val="0"/>
              <w:snapToGrid w:val="0"/>
              <w:spacing w:before="0" w:beforeAutospacing="0" w:after="0" w:afterAutospacing="0"/>
              <w:ind w:firstLine="480" w:firstLineChars="200"/>
              <w:rPr>
                <w:rFonts w:ascii="仿宋" w:hAnsi="仿宋" w:eastAsia="仿宋" w:cs="仿宋"/>
                <w:color w:val="000000"/>
              </w:rPr>
            </w:pPr>
            <w:r>
              <w:rPr>
                <w:rFonts w:hint="eastAsia" w:ascii="仿宋" w:hAnsi="仿宋" w:eastAsia="仿宋" w:cs="仿宋"/>
                <w:color w:val="000000"/>
              </w:rPr>
              <w:t>可查阅的资料：《绍兴市汤浦水库清淤扩容工程清淤副产品所对应的出让价格评估咨询报告书》仅限作为参考资料，可供竞买人提出申请后查阅，但不作为本次拍卖文件必然的组成附件，不得以该报告书作为成交后的交付依据。</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93" w:hRule="atLeast"/>
          <w:jc w:val="center"/>
        </w:trPr>
        <w:tc>
          <w:tcPr>
            <w:tcW w:w="1433" w:type="dxa"/>
            <w:vMerge w:val="restart"/>
            <w:tcBorders>
              <w:top w:val="nil"/>
              <w:left w:val="single" w:color="000000" w:sz="8" w:space="0"/>
              <w:bottom w:val="single" w:color="DCDCDC" w:sz="6"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其他事项</w:t>
            </w:r>
          </w:p>
        </w:tc>
        <w:tc>
          <w:tcPr>
            <w:tcW w:w="2217"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瑕疵情况</w:t>
            </w:r>
          </w:p>
        </w:tc>
        <w:tc>
          <w:tcPr>
            <w:tcW w:w="5376" w:type="dxa"/>
            <w:tcBorders>
              <w:top w:val="nil"/>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ind w:firstLine="480" w:firstLineChars="200"/>
              <w:rPr>
                <w:rFonts w:ascii="仿宋" w:hAnsi="仿宋" w:eastAsia="仿宋" w:cs="仿宋"/>
                <w:color w:val="000000"/>
              </w:rPr>
            </w:pPr>
            <w:r>
              <w:rPr>
                <w:rFonts w:hint="eastAsia" w:ascii="仿宋" w:hAnsi="仿宋" w:eastAsia="仿宋" w:cs="仿宋"/>
                <w:color w:val="000000"/>
              </w:rPr>
              <w:t>标的以移交时的实物现状为准，委托人和拍卖人对现场交付中存在的标的瑕疵不承担瑕疵担保责任，对其品质成分或可利用和不可利用的资源具体比例不作任何保证。请竞买人参拍前联系拍卖人并亲临展示现场，实地看样，未看样的竞买人视为对本标的移交时实物现状的确认。</w:t>
            </w:r>
          </w:p>
          <w:p>
            <w:pPr>
              <w:pStyle w:val="8"/>
              <w:adjustRightInd w:val="0"/>
              <w:snapToGrid w:val="0"/>
              <w:spacing w:before="0" w:beforeAutospacing="0" w:after="0" w:afterAutospacing="0"/>
              <w:ind w:firstLine="480" w:firstLineChars="200"/>
              <w:rPr>
                <w:rFonts w:ascii="仿宋" w:hAnsi="仿宋" w:eastAsia="仿宋" w:cs="仿宋"/>
                <w:color w:val="000000"/>
              </w:rPr>
            </w:pPr>
            <w:r>
              <w:rPr>
                <w:rFonts w:hint="eastAsia" w:ascii="仿宋" w:hAnsi="仿宋" w:eastAsia="仿宋" w:cs="仿宋"/>
                <w:color w:val="000000"/>
              </w:rPr>
              <w:t>详见拍卖公告、竞买须知、特别说明等拍卖文件，及结合实地踏勘。</w:t>
            </w:r>
          </w:p>
        </w:tc>
      </w:tr>
      <w:tr>
        <w:tblPrEx>
          <w:tblBorders>
            <w:top w:val="single" w:color="E9E9E9" w:sz="6" w:space="0"/>
            <w:left w:val="single" w:color="E9E9E9" w:sz="6" w:space="0"/>
            <w:bottom w:val="single" w:color="E9E9E9" w:sz="6" w:space="0"/>
            <w:right w:val="single" w:color="E9E9E9"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08" w:hRule="atLeast"/>
          <w:jc w:val="center"/>
        </w:trPr>
        <w:tc>
          <w:tcPr>
            <w:tcW w:w="1433" w:type="dxa"/>
            <w:vMerge w:val="continue"/>
            <w:tcBorders>
              <w:top w:val="nil"/>
              <w:left w:val="single" w:color="000000" w:sz="8" w:space="0"/>
              <w:bottom w:val="single" w:color="auto" w:sz="4" w:space="0"/>
              <w:right w:val="single" w:color="000000" w:sz="8" w:space="0"/>
            </w:tcBorders>
            <w:shd w:val="clear" w:color="auto" w:fill="FFFFFF"/>
            <w:tcMar>
              <w:top w:w="0" w:type="dxa"/>
              <w:left w:w="108" w:type="dxa"/>
              <w:bottom w:w="0" w:type="dxa"/>
              <w:right w:w="108" w:type="dxa"/>
            </w:tcMar>
            <w:vAlign w:val="center"/>
          </w:tcPr>
          <w:p>
            <w:pPr>
              <w:adjustRightInd w:val="0"/>
              <w:snapToGrid w:val="0"/>
              <w:rPr>
                <w:rFonts w:ascii="仿宋" w:hAnsi="仿宋" w:eastAsia="仿宋" w:cs="仿宋"/>
                <w:b/>
                <w:bCs/>
                <w:color w:val="000000"/>
                <w:kern w:val="0"/>
                <w:sz w:val="24"/>
                <w:szCs w:val="24"/>
              </w:rPr>
            </w:pPr>
          </w:p>
        </w:tc>
        <w:tc>
          <w:tcPr>
            <w:tcW w:w="2217"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8"/>
              <w:adjustRightInd w:val="0"/>
              <w:snapToGrid w:val="0"/>
              <w:spacing w:before="0" w:beforeAutospacing="0" w:after="0" w:afterAutospacing="0"/>
              <w:rPr>
                <w:rFonts w:ascii="仿宋" w:hAnsi="仿宋" w:eastAsia="仿宋" w:cs="仿宋"/>
                <w:b/>
                <w:bCs/>
                <w:color w:val="000000"/>
              </w:rPr>
            </w:pPr>
            <w:r>
              <w:rPr>
                <w:rFonts w:hint="eastAsia" w:ascii="仿宋" w:hAnsi="仿宋" w:eastAsia="仿宋" w:cs="仿宋"/>
                <w:b/>
                <w:bCs/>
                <w:color w:val="000000"/>
              </w:rPr>
              <w:t>拍卖款票据</w:t>
            </w:r>
          </w:p>
        </w:tc>
        <w:tc>
          <w:tcPr>
            <w:tcW w:w="5376" w:type="dxa"/>
            <w:tcBorders>
              <w:top w:val="nil"/>
              <w:left w:val="single" w:color="auto" w:sz="4" w:space="0"/>
              <w:bottom w:val="single" w:color="auto" w:sz="4" w:space="0"/>
              <w:right w:val="single" w:color="000000" w:sz="8" w:space="0"/>
            </w:tcBorders>
            <w:shd w:val="clear" w:color="auto" w:fill="FFFFFF"/>
            <w:tcMar>
              <w:top w:w="0" w:type="dxa"/>
              <w:left w:w="0" w:type="dxa"/>
              <w:bottom w:w="0" w:type="dxa"/>
              <w:right w:w="0" w:type="dxa"/>
            </w:tcMar>
            <w:vAlign w:val="center"/>
          </w:tcPr>
          <w:p>
            <w:pPr>
              <w:pStyle w:val="8"/>
              <w:adjustRightInd w:val="0"/>
              <w:snapToGrid w:val="0"/>
              <w:spacing w:before="0" w:beforeAutospacing="0" w:after="0" w:afterAutospacing="0"/>
              <w:ind w:firstLine="480" w:firstLineChars="200"/>
              <w:rPr>
                <w:rFonts w:ascii="仿宋" w:hAnsi="仿宋" w:eastAsia="仿宋" w:cs="仿宋"/>
                <w:color w:val="000000"/>
              </w:rPr>
            </w:pPr>
            <w:r>
              <w:rPr>
                <w:rFonts w:hint="eastAsia" w:ascii="仿宋" w:hAnsi="仿宋" w:eastAsia="仿宋" w:cs="仿宋"/>
                <w:color w:val="000000"/>
              </w:rPr>
              <w:t>拍卖成交款（合同货款）按相关规定，开具浙江省非税收入统一票据，不提供增值税发票。拍卖佣金，由拍卖人开具增值税普通发票。软件服务费，由中拍平台开具增值税发票。</w:t>
            </w:r>
          </w:p>
        </w:tc>
      </w:tr>
    </w:tbl>
    <w:p>
      <w:pPr>
        <w:pStyle w:val="2"/>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044597"/>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0</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2022-11-04T11:06:56Z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