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cs="黑体"/>
          <w:b/>
          <w:bCs/>
          <w:color w:val="000000" w:themeColor="text1"/>
          <w:sz w:val="44"/>
          <w:szCs w:val="44"/>
        </w:rPr>
      </w:pPr>
      <w:r>
        <w:rPr>
          <w:rFonts w:hint="eastAsia" w:ascii="黑体" w:hAnsi="黑体" w:eastAsia="黑体" w:cs="黑体"/>
          <w:b/>
          <w:bCs/>
          <w:color w:val="000000" w:themeColor="text1"/>
          <w:sz w:val="44"/>
          <w:szCs w:val="44"/>
        </w:rPr>
        <w:t>竞买须知</w:t>
      </w:r>
    </w:p>
    <w:p>
      <w:pPr>
        <w:adjustRightInd w:val="0"/>
        <w:snapToGrid w:val="0"/>
        <w:jc w:val="center"/>
        <w:rPr>
          <w:rFonts w:ascii="黑体" w:hAnsi="黑体" w:eastAsia="黑体" w:cs="黑体"/>
          <w:b/>
          <w:bCs/>
          <w:color w:val="000000" w:themeColor="text1"/>
          <w:sz w:val="28"/>
          <w:szCs w:val="28"/>
        </w:rPr>
      </w:pPr>
    </w:p>
    <w:p>
      <w:pPr>
        <w:widowControl/>
        <w:adjustRightInd w:val="0"/>
        <w:snapToGrid w:val="0"/>
        <w:ind w:firstLine="560" w:firstLineChars="200"/>
        <w:jc w:val="left"/>
        <w:rPr>
          <w:rFonts w:ascii="仿宋" w:hAnsi="仿宋" w:eastAsia="仿宋" w:cs="仿宋"/>
          <w:b/>
          <w:bCs/>
          <w:kern w:val="0"/>
          <w:sz w:val="28"/>
          <w:szCs w:val="28"/>
        </w:rPr>
      </w:pPr>
      <w:r>
        <w:rPr>
          <w:rFonts w:hint="eastAsia" w:ascii="仿宋" w:hAnsi="仿宋" w:eastAsia="仿宋" w:cs="仿宋"/>
          <w:kern w:val="0"/>
          <w:sz w:val="28"/>
          <w:szCs w:val="28"/>
        </w:rPr>
        <w:t>根据《拍卖法》以及相关法律法规，参考网络拍卖有关规定、通行惯例制定本须知，以明确拍卖活动当事人的权利、义务，并对本次拍卖有关事项进行约定。参与本次拍卖活动的竞买人（买受人）必须仔细阅读并遵守本拍卖规则及其它相关文件，并对自己执行本拍卖规则的行为负责。</w:t>
      </w:r>
    </w:p>
    <w:p>
      <w:pPr>
        <w:widowControl/>
        <w:adjustRightInd w:val="0"/>
        <w:snapToGrid w:val="0"/>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★一、受绍兴市原水集团有限公司委托，拍卖人对以下标的进行拍卖：</w:t>
      </w:r>
    </w:p>
    <w:p>
      <w:pPr>
        <w:widowControl/>
        <w:adjustRightInd w:val="0"/>
        <w:snapToGrid w:val="0"/>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1、汤浦水库清淤扩容工程中产生的，柯桥区平水镇西岙口堆料场指定区域内的砂石统料共计 20 万m³，可利用和不可利用物料整体拍卖。</w:t>
      </w:r>
    </w:p>
    <w:p>
      <w:pPr>
        <w:widowControl/>
        <w:adjustRightInd w:val="0"/>
        <w:snapToGrid w:val="0"/>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起拍单价：</w:t>
      </w:r>
      <w:r>
        <w:rPr>
          <w:rFonts w:hint="eastAsia" w:ascii="仿宋" w:hAnsi="仿宋" w:eastAsia="仿宋" w:cs="仿宋"/>
          <w:b/>
          <w:bCs/>
          <w:kern w:val="0"/>
          <w:sz w:val="28"/>
          <w:szCs w:val="28"/>
          <w:u w:val="single"/>
        </w:rPr>
        <w:t>48.72</w:t>
      </w:r>
      <w:r>
        <w:rPr>
          <w:rFonts w:hint="eastAsia" w:ascii="仿宋" w:hAnsi="仿宋" w:eastAsia="仿宋" w:cs="仿宋"/>
          <w:b/>
          <w:bCs/>
          <w:kern w:val="0"/>
          <w:sz w:val="28"/>
          <w:szCs w:val="28"/>
        </w:rPr>
        <w:t>元/m³，参拍保证金</w:t>
      </w:r>
      <w:r>
        <w:rPr>
          <w:rFonts w:hint="eastAsia" w:ascii="仿宋" w:hAnsi="仿宋" w:eastAsia="仿宋" w:cs="仿宋"/>
          <w:b/>
          <w:bCs/>
          <w:kern w:val="0"/>
          <w:sz w:val="28"/>
          <w:szCs w:val="28"/>
          <w:u w:val="single"/>
        </w:rPr>
        <w:t>190</w:t>
      </w:r>
      <w:r>
        <w:rPr>
          <w:rFonts w:hint="eastAsia" w:ascii="仿宋" w:hAnsi="仿宋" w:eastAsia="仿宋" w:cs="仿宋"/>
          <w:b/>
          <w:bCs/>
          <w:kern w:val="0"/>
          <w:sz w:val="28"/>
          <w:szCs w:val="28"/>
        </w:rPr>
        <w:t>万元。加价幅度0.5元/m³或0.5元/m³的整倍数。</w:t>
      </w:r>
    </w:p>
    <w:p>
      <w:pPr>
        <w:widowControl/>
        <w:adjustRightInd w:val="0"/>
        <w:snapToGrid w:val="0"/>
        <w:ind w:firstLine="562" w:firstLineChars="200"/>
        <w:jc w:val="left"/>
        <w:rPr>
          <w:rFonts w:ascii="仿宋" w:hAnsi="仿宋" w:eastAsia="仿宋" w:cs="仿宋"/>
          <w:b/>
          <w:bCs/>
          <w:sz w:val="28"/>
          <w:szCs w:val="28"/>
        </w:rPr>
      </w:pPr>
      <w:r>
        <w:rPr>
          <w:rFonts w:hint="eastAsia" w:ascii="仿宋" w:hAnsi="仿宋" w:eastAsia="仿宋" w:cs="仿宋"/>
          <w:b/>
          <w:bCs/>
          <w:kern w:val="0"/>
          <w:sz w:val="28"/>
          <w:szCs w:val="28"/>
        </w:rPr>
        <w:t>注：本次拍卖的</w:t>
      </w:r>
      <w:r>
        <w:rPr>
          <w:rFonts w:hint="eastAsia" w:ascii="仿宋" w:hAnsi="仿宋" w:eastAsia="仿宋" w:cs="仿宋"/>
          <w:b/>
          <w:bCs/>
          <w:sz w:val="28"/>
          <w:szCs w:val="28"/>
        </w:rPr>
        <w:t>砂石统料共计20万m³，</w:t>
      </w:r>
      <w:r>
        <w:rPr>
          <w:rFonts w:hint="eastAsia" w:ascii="仿宋" w:hAnsi="仿宋" w:eastAsia="仿宋" w:cs="仿宋"/>
          <w:b/>
          <w:bCs/>
          <w:kern w:val="0"/>
          <w:sz w:val="28"/>
          <w:szCs w:val="28"/>
        </w:rPr>
        <w:t>拍卖成交后形成的买卖</w:t>
      </w:r>
      <w:r>
        <w:rPr>
          <w:rFonts w:hint="eastAsia" w:ascii="仿宋" w:hAnsi="仿宋" w:eastAsia="仿宋" w:cs="仿宋"/>
          <w:b/>
          <w:bCs/>
          <w:sz w:val="28"/>
          <w:szCs w:val="28"/>
        </w:rPr>
        <w:t>合同货款总价(拍卖成交款=200000×成交单价)。双方买卖合同履行完毕前，因买卖合同中履行方量结算条款，导致合同货款总价调整的，</w:t>
      </w:r>
      <w:r>
        <w:rPr>
          <w:rFonts w:hint="eastAsia" w:ascii="仿宋" w:hAnsi="仿宋" w:eastAsia="仿宋" w:cs="仿宋"/>
          <w:b/>
          <w:bCs/>
          <w:kern w:val="0"/>
          <w:sz w:val="28"/>
          <w:szCs w:val="28"/>
        </w:rPr>
        <w:t>按《买卖合同》（样稿）</w:t>
      </w:r>
      <w:r>
        <w:rPr>
          <w:rFonts w:hint="eastAsia" w:ascii="仿宋_GB2312" w:hAnsi="仿宋_GB2312" w:eastAsia="仿宋_GB2312" w:cs="仿宋_GB2312"/>
          <w:b/>
          <w:bCs/>
          <w:kern w:val="0"/>
          <w:sz w:val="28"/>
          <w:szCs w:val="28"/>
        </w:rPr>
        <w:t>“二、供应及质量合同”中约定条款履行。</w:t>
      </w:r>
    </w:p>
    <w:p>
      <w:pPr>
        <w:widowControl/>
        <w:adjustRightInd w:val="0"/>
        <w:snapToGrid w:val="0"/>
        <w:ind w:firstLine="562" w:firstLineChars="200"/>
        <w:jc w:val="left"/>
      </w:pPr>
      <w:r>
        <w:rPr>
          <w:rFonts w:hint="eastAsia" w:ascii="仿宋" w:hAnsi="仿宋" w:eastAsia="仿宋" w:cs="仿宋"/>
          <w:b/>
          <w:bCs/>
          <w:kern w:val="0"/>
          <w:sz w:val="28"/>
          <w:szCs w:val="28"/>
        </w:rPr>
        <w:t>标的所在指定区域位置详见《西岙口堆料场砂石统料首测方量测量（按清表后计算）》、《西岙口堆料场砂石统料首测方量测量(按平场标高30米计算)》及结合展示期间现场咨询、看样、踏勘确认。两份首测方量测量报告涉及的两处区域位置砂石统料，拍卖成交后，涉及的提货要求、条件、顺位等问题，按《买卖合同》（样稿）</w:t>
      </w:r>
      <w:r>
        <w:rPr>
          <w:rFonts w:hint="eastAsia" w:ascii="仿宋_GB2312" w:hAnsi="仿宋_GB2312" w:eastAsia="仿宋_GB2312" w:cs="仿宋_GB2312"/>
          <w:b/>
          <w:bCs/>
          <w:kern w:val="0"/>
          <w:sz w:val="28"/>
          <w:szCs w:val="28"/>
        </w:rPr>
        <w:t>“二、供应及质量合同”及《安全环保协议》</w:t>
      </w:r>
      <w:r>
        <w:rPr>
          <w:rFonts w:hint="eastAsia" w:ascii="仿宋" w:hAnsi="仿宋" w:eastAsia="仿宋" w:cs="仿宋"/>
          <w:b/>
          <w:sz w:val="28"/>
          <w:szCs w:val="28"/>
        </w:rPr>
        <w:t>（样稿）</w:t>
      </w:r>
      <w:r>
        <w:rPr>
          <w:rFonts w:hint="eastAsia" w:ascii="仿宋_GB2312" w:hAnsi="仿宋_GB2312" w:eastAsia="仿宋_GB2312" w:cs="仿宋_GB2312"/>
          <w:b/>
          <w:bCs/>
          <w:kern w:val="0"/>
          <w:sz w:val="28"/>
          <w:szCs w:val="28"/>
        </w:rPr>
        <w:t>中约定条款履行。</w:t>
      </w:r>
    </w:p>
    <w:p>
      <w:pPr>
        <w:widowControl/>
        <w:adjustRightInd w:val="0"/>
        <w:snapToGrid w:val="0"/>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2、标的以移交时的实物现状为准，委托人和拍卖人对现场交付中存在的标的瑕疵不承担瑕疵担保责任，对其品质成分或可利用和不可利用的资源具体比例不作任何保证。请竞买人参拍前联系拍卖人并亲临展示现场，实地看样，未看样的竞买人视为对本标的移交时实物现状的确认。</w:t>
      </w:r>
    </w:p>
    <w:p>
      <w:pPr>
        <w:widowControl/>
        <w:adjustRightInd w:val="0"/>
        <w:snapToGrid w:val="0"/>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3、本次拍卖资产拍卖前，委托人已经过浙江矿评房地产资产评估有限公司评估，评估机构出具了《绍兴市汤浦水库清淤扩容工程清淤副产品所对应的出让价格评估咨询报告书》（编号：浙矿矿评咨报字[2022]09-02号)，评估价是委托人确定拍卖起拍价的参考依据，并不作为最终确定拍卖成交价的构成依据。由于评估报告系评估机构在特定假设和限制条件下作出的咨询理论资料，与资产现值及实际状况可能存在一定差异，使用时存在局限性。故，本次可供申请查阅的评估报告内容信息仅供竞买人参考使用，不作为本次拍卖文件必然的组成附件，不得以此作为成交后的交付依据，具体资产实物状况须结合实际，以移交时标的物的实物状况为准。拍卖成交后，买受人不得因评估报告中的描述与拍卖标的按实际状况移交时存在各种品质、成分问题，及与实物资产价值差异等，向委托人及拍卖人提出异议或赔偿请求。</w:t>
      </w:r>
    </w:p>
    <w:p>
      <w:pPr>
        <w:widowControl/>
        <w:adjustRightInd w:val="0"/>
        <w:snapToGrid w:val="0"/>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二、</w:t>
      </w:r>
      <w:r>
        <w:rPr>
          <w:rFonts w:hint="eastAsia" w:ascii="仿宋" w:hAnsi="仿宋" w:eastAsia="仿宋" w:cs="仿宋"/>
          <w:kern w:val="0"/>
          <w:sz w:val="28"/>
          <w:szCs w:val="28"/>
        </w:rPr>
        <w:t>具有完全民事行为能力的自然人，或中华人民共和国境内合法存续的法人或其他组织均可参加竞买（不接受联合体参拍）。但法律、行政法规对拍卖标的的买卖条件有规定的，竞买人应当具备规定的条件。不符合条件参加竞买的，由竞买人自行承担全部的法律责任。竞买人参拍前，自行判断是否符合本标的的取得资格。</w:t>
      </w:r>
    </w:p>
    <w:p>
      <w:pPr>
        <w:widowControl/>
        <w:adjustRightInd w:val="0"/>
        <w:snapToGrid w:val="0"/>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三、</w:t>
      </w:r>
      <w:r>
        <w:rPr>
          <w:rFonts w:hint="eastAsia" w:ascii="仿宋" w:hAnsi="仿宋" w:eastAsia="仿宋" w:cs="仿宋"/>
          <w:kern w:val="0"/>
          <w:sz w:val="28"/>
          <w:szCs w:val="28"/>
        </w:rPr>
        <w:t>自公告之日起至拍卖报名截止前，有意竞买者可及时联系咨询并申请查询其他相关拍卖文件资料，多方位了解该标的的现状、情况资料及参拍方式。</w:t>
      </w:r>
    </w:p>
    <w:p>
      <w:pPr>
        <w:widowControl/>
        <w:adjustRightInd w:val="0"/>
        <w:snapToGrid w:val="0"/>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四、现场展示：2022年</w:t>
      </w:r>
      <w:r>
        <w:rPr>
          <w:rFonts w:hint="eastAsia" w:ascii="仿宋" w:hAnsi="仿宋" w:eastAsia="仿宋" w:cs="仿宋"/>
          <w:b/>
          <w:bCs/>
          <w:kern w:val="0"/>
          <w:sz w:val="28"/>
          <w:szCs w:val="28"/>
          <w:u w:val="single"/>
        </w:rPr>
        <w:t>11</w:t>
      </w:r>
      <w:r>
        <w:rPr>
          <w:rFonts w:hint="eastAsia" w:ascii="仿宋" w:hAnsi="仿宋" w:eastAsia="仿宋" w:cs="仿宋"/>
          <w:b/>
          <w:bCs/>
          <w:color w:val="auto"/>
          <w:kern w:val="0"/>
          <w:sz w:val="28"/>
          <w:szCs w:val="28"/>
        </w:rPr>
        <w:t>月</w:t>
      </w:r>
      <w:r>
        <w:rPr>
          <w:rFonts w:hint="eastAsia" w:ascii="仿宋" w:hAnsi="仿宋" w:eastAsia="仿宋" w:cs="仿宋"/>
          <w:b/>
          <w:bCs/>
          <w:color w:val="auto"/>
          <w:kern w:val="0"/>
          <w:sz w:val="28"/>
          <w:szCs w:val="28"/>
          <w:u w:val="single"/>
        </w:rPr>
        <w:t>18</w:t>
      </w:r>
      <w:r>
        <w:rPr>
          <w:rFonts w:hint="eastAsia" w:ascii="仿宋" w:hAnsi="仿宋" w:eastAsia="仿宋" w:cs="仿宋"/>
          <w:b/>
          <w:bCs/>
          <w:color w:val="auto"/>
          <w:kern w:val="0"/>
          <w:sz w:val="28"/>
          <w:szCs w:val="28"/>
        </w:rPr>
        <w:t>日、</w:t>
      </w:r>
      <w:r>
        <w:rPr>
          <w:rFonts w:hint="eastAsia" w:ascii="仿宋" w:hAnsi="仿宋" w:eastAsia="仿宋" w:cs="仿宋"/>
          <w:b/>
          <w:bCs/>
          <w:color w:val="auto"/>
          <w:kern w:val="0"/>
          <w:sz w:val="28"/>
          <w:szCs w:val="28"/>
          <w:u w:val="single"/>
        </w:rPr>
        <w:t>21</w:t>
      </w:r>
      <w:r>
        <w:rPr>
          <w:rFonts w:hint="eastAsia" w:ascii="仿宋" w:hAnsi="仿宋" w:eastAsia="仿宋" w:cs="仿宋"/>
          <w:b/>
          <w:bCs/>
          <w:color w:val="auto"/>
          <w:kern w:val="0"/>
          <w:sz w:val="28"/>
          <w:szCs w:val="28"/>
        </w:rPr>
        <w:t>日</w:t>
      </w:r>
      <w:r>
        <w:rPr>
          <w:rFonts w:hint="eastAsia" w:ascii="仿宋" w:hAnsi="仿宋" w:eastAsia="仿宋" w:cs="仿宋"/>
          <w:kern w:val="0"/>
          <w:sz w:val="28"/>
          <w:szCs w:val="28"/>
        </w:rPr>
        <w:t>，标的所在地：</w:t>
      </w:r>
      <w:r>
        <w:rPr>
          <w:rFonts w:hint="eastAsia" w:ascii="仿宋_GB2312" w:hAnsi="仿宋_GB2312" w:eastAsia="仿宋_GB2312" w:cs="仿宋_GB2312"/>
          <w:sz w:val="28"/>
          <w:szCs w:val="28"/>
        </w:rPr>
        <w:t>柯桥区平水镇西岙口堆料场甲方指定的区域</w:t>
      </w:r>
      <w:r>
        <w:rPr>
          <w:rFonts w:hint="eastAsia" w:ascii="仿宋" w:hAnsi="仿宋" w:eastAsia="仿宋" w:cs="仿宋"/>
          <w:kern w:val="0"/>
          <w:sz w:val="28"/>
          <w:szCs w:val="28"/>
        </w:rPr>
        <w:t>。看样联系方式：18957576235。</w:t>
      </w:r>
    </w:p>
    <w:p>
      <w:pPr>
        <w:widowControl/>
        <w:adjustRightInd w:val="0"/>
        <w:snapToGrid w:val="0"/>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五、本次拍卖标的的品质、法律关系、自然损耗等均按标的物移交时的实物现状为准，对拍卖标的的各方面状况，竞买人须自行了解、查验其具体情况，对标的使用性能、质量、完好率、权利瑕疵等状况须竞买人自行现场勘察核实（竞买人对标的上述信息有疑义的，须在参拍前向产权人或处置人进行咨询，并同时向拍卖人提出），并对竞买本标的可能存在的投资风险进行充分评估。</w:t>
      </w:r>
    </w:p>
    <w:p>
      <w:pPr>
        <w:widowControl/>
        <w:adjustRightInd w:val="0"/>
        <w:snapToGrid w:val="0"/>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六、报名及参拍事项:</w:t>
      </w:r>
    </w:p>
    <w:p>
      <w:pPr>
        <w:widowControl/>
        <w:adjustRightInd w:val="0"/>
        <w:snapToGrid w:val="0"/>
        <w:ind w:firstLine="560" w:firstLineChars="200"/>
        <w:jc w:val="left"/>
        <w:rPr>
          <w:rFonts w:hint="eastAsia" w:ascii="仿宋" w:hAnsi="仿宋" w:eastAsia="仿宋" w:cs="仿宋"/>
          <w:color w:val="auto"/>
          <w:sz w:val="28"/>
          <w:szCs w:val="28"/>
        </w:rPr>
      </w:pPr>
      <w:r>
        <w:rPr>
          <w:rFonts w:hint="eastAsia" w:ascii="仿宋" w:hAnsi="仿宋" w:eastAsia="仿宋" w:cs="仿宋"/>
          <w:kern w:val="0"/>
          <w:sz w:val="28"/>
          <w:szCs w:val="28"/>
        </w:rPr>
        <w:t>1、本次拍卖在中国拍卖行业协会中拍平台线上进行，报名</w:t>
      </w:r>
      <w:r>
        <w:rPr>
          <w:rFonts w:hint="eastAsia" w:ascii="仿宋" w:hAnsi="仿宋" w:eastAsia="仿宋" w:cs="仿宋"/>
          <w:sz w:val="28"/>
          <w:szCs w:val="28"/>
        </w:rPr>
        <w:t>参拍前，竞买人须首先完成中拍平台用户实名注册，随后对拍卖标的报名操作，及线下支付参拍保证金，最后待拍卖人资格审核通过后，方可参拍（中拍实名注册问题可咨询：400-898-5988。具体报名、参拍保证金缴纳、参拍资格确认流程详见“中拍平台注册、报名、拍卖流程”或可咨询拍卖人，咨询电话</w:t>
      </w:r>
      <w:r>
        <w:rPr>
          <w:rFonts w:hint="eastAsia" w:ascii="仿宋" w:hAnsi="仿宋" w:eastAsia="仿宋" w:cs="仿宋"/>
          <w:color w:val="auto"/>
          <w:sz w:val="28"/>
          <w:szCs w:val="28"/>
        </w:rPr>
        <w:t>：18957576235）。竞买人请提前做好线上用户实名注册、标的报名，及线下支付参拍保证金的各项咨询、准备、及操作、缴纳工作，在中拍平台规则及本次拍卖文件规定期限内及时完成。本次拍卖线上报名及竞拍PC电脑端网址：登陆中拍平台网站首页点击“拍卖企业”后，在搜索栏中搜索“浙江天恒拍卖有限公司”找到待拍项目；也可以登录绍兴公共资源交易网：（http://ggb.sx.gov.cn）中“产权交易”→“交易公告”中找到待拍项目后，从链接项转入网拍页面。按线上拍卖公告、竞买须知等要求报名、参拍。</w:t>
      </w:r>
    </w:p>
    <w:p>
      <w:pPr>
        <w:widowControl/>
        <w:adjustRightInd w:val="0"/>
        <w:snapToGrid w:val="0"/>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、本次拍卖参拍保证金为190万元，自公告发布后竞买人即可通过网银、电汇等形式一次性缴纳，并确保保证金于</w:t>
      </w:r>
      <w:r>
        <w:rPr>
          <w:rFonts w:hint="eastAsia" w:ascii="仿宋" w:hAnsi="仿宋" w:eastAsia="仿宋" w:cs="仿宋"/>
          <w:color w:val="auto"/>
          <w:sz w:val="28"/>
          <w:szCs w:val="28"/>
          <w:u w:val="none"/>
          <w:lang w:val="en-US" w:eastAsia="zh-CN"/>
        </w:rPr>
        <w:t>2022年</w:t>
      </w:r>
      <w:r>
        <w:rPr>
          <w:rFonts w:hint="eastAsia" w:ascii="仿宋" w:hAnsi="仿宋" w:eastAsia="仿宋" w:cs="仿宋"/>
          <w:color w:val="auto"/>
          <w:sz w:val="28"/>
          <w:szCs w:val="28"/>
          <w:u w:val="single"/>
          <w:lang w:val="en-US" w:eastAsia="zh-CN"/>
        </w:rPr>
        <w:t>11</w:t>
      </w:r>
      <w:r>
        <w:rPr>
          <w:rFonts w:hint="eastAsia" w:ascii="仿宋" w:hAnsi="仿宋" w:eastAsia="仿宋" w:cs="仿宋"/>
          <w:color w:val="auto"/>
          <w:sz w:val="28"/>
          <w:szCs w:val="28"/>
          <w:u w:val="none"/>
          <w:lang w:val="en-US" w:eastAsia="zh-CN"/>
        </w:rPr>
        <w:t>月</w:t>
      </w:r>
      <w:r>
        <w:rPr>
          <w:rFonts w:hint="eastAsia" w:ascii="仿宋" w:hAnsi="仿宋" w:eastAsia="仿宋" w:cs="仿宋"/>
          <w:color w:val="auto"/>
          <w:sz w:val="28"/>
          <w:szCs w:val="28"/>
          <w:u w:val="single"/>
          <w:lang w:val="en-US" w:eastAsia="zh-CN"/>
        </w:rPr>
        <w:t>23</w:t>
      </w:r>
      <w:r>
        <w:rPr>
          <w:rFonts w:hint="eastAsia" w:ascii="仿宋" w:hAnsi="仿宋" w:eastAsia="仿宋" w:cs="仿宋"/>
          <w:color w:val="auto"/>
          <w:sz w:val="28"/>
          <w:szCs w:val="28"/>
          <w:u w:val="none"/>
          <w:lang w:val="en-US" w:eastAsia="zh-CN"/>
        </w:rPr>
        <w:t xml:space="preserve">日16：00 </w:t>
      </w:r>
      <w:r>
        <w:rPr>
          <w:rFonts w:hint="eastAsia" w:ascii="仿宋" w:hAnsi="仿宋" w:eastAsia="仿宋" w:cs="仿宋"/>
          <w:color w:val="auto"/>
          <w:sz w:val="28"/>
          <w:szCs w:val="28"/>
          <w:lang w:val="en-US" w:eastAsia="zh-CN"/>
        </w:rPr>
        <w:t>前足额到账（以银行到账时间为准），保证金不计息。竞买人参拍保证金缴款人的名称必须与报名时的竞买人名称完全一致。保证金委托绍兴市公共资源交易中心代收代退，缴入账户：绍兴市公共资源交易中心保证金专户；开户银行：绍兴银行营业部；账号：0900000103411100852。</w:t>
      </w:r>
    </w:p>
    <w:p>
      <w:pPr>
        <w:widowControl/>
        <w:adjustRightInd w:val="0"/>
        <w:snapToGrid w:val="0"/>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注：参拍保证金采用网银、电汇转账方式一次性缴纳，可能会遇到当天限额无法支付的情况，请竞买人提前确认是否开通网上银行及支付银行的转账限额。</w:t>
      </w:r>
    </w:p>
    <w:p>
      <w:pPr>
        <w:pStyle w:val="2"/>
        <w:adjustRightInd w:val="0"/>
        <w:snapToGrid w:val="0"/>
        <w:spacing w:line="252" w:lineRule="auto"/>
        <w:ind w:firstLine="560" w:firstLineChars="200"/>
        <w:rPr>
          <w:rFonts w:ascii="仿宋" w:hAnsi="仿宋" w:eastAsia="仿宋" w:cs="仿宋"/>
          <w:sz w:val="28"/>
          <w:szCs w:val="28"/>
        </w:rPr>
      </w:pPr>
      <w:r>
        <w:rPr>
          <w:rFonts w:hint="eastAsia" w:ascii="仿宋" w:hAnsi="仿宋" w:eastAsia="仿宋" w:cs="仿宋"/>
          <w:color w:val="3F3F3F"/>
          <w:sz w:val="28"/>
          <w:szCs w:val="28"/>
        </w:rPr>
        <w:t>3、</w:t>
      </w:r>
      <w:r>
        <w:rPr>
          <w:rFonts w:hint="eastAsia" w:ascii="仿宋" w:hAnsi="仿宋" w:eastAsia="仿宋" w:cs="仿宋"/>
          <w:color w:val="auto"/>
          <w:sz w:val="28"/>
          <w:szCs w:val="28"/>
          <w:highlight w:val="none"/>
          <w:lang w:val="en-US"/>
        </w:rPr>
        <w:t>拍卖人于</w:t>
      </w:r>
      <w:r>
        <w:rPr>
          <w:rFonts w:hint="eastAsia" w:ascii="仿宋" w:hAnsi="仿宋" w:eastAsia="仿宋" w:cs="仿宋"/>
          <w:color w:val="auto"/>
          <w:kern w:val="0"/>
          <w:sz w:val="28"/>
          <w:szCs w:val="28"/>
          <w:highlight w:val="none"/>
        </w:rPr>
        <w:t>2022年</w:t>
      </w:r>
      <w:r>
        <w:rPr>
          <w:rFonts w:hint="eastAsia" w:ascii="仿宋" w:hAnsi="仿宋" w:eastAsia="仿宋" w:cs="仿宋"/>
          <w:color w:val="auto"/>
          <w:kern w:val="0"/>
          <w:sz w:val="28"/>
          <w:szCs w:val="28"/>
          <w:highlight w:val="none"/>
          <w:u w:val="single"/>
          <w:lang w:val="en-US"/>
        </w:rPr>
        <w:t>11</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u w:val="single"/>
          <w:lang w:val="en-US"/>
        </w:rPr>
        <w:t>24</w:t>
      </w:r>
      <w:r>
        <w:rPr>
          <w:rFonts w:hint="eastAsia" w:ascii="仿宋" w:hAnsi="仿宋" w:eastAsia="仿宋" w:cs="仿宋"/>
          <w:color w:val="auto"/>
          <w:kern w:val="0"/>
          <w:sz w:val="28"/>
          <w:szCs w:val="28"/>
          <w:highlight w:val="none"/>
        </w:rPr>
        <w:t>日前</w:t>
      </w:r>
      <w:r>
        <w:rPr>
          <w:rFonts w:hint="eastAsia" w:ascii="仿宋" w:hAnsi="仿宋" w:eastAsia="仿宋" w:cs="仿宋"/>
          <w:color w:val="auto"/>
          <w:sz w:val="28"/>
          <w:szCs w:val="28"/>
          <w:highlight w:val="none"/>
          <w:lang w:val="en-US"/>
        </w:rPr>
        <w:t>对竞买人上述报名参拍情况进行审核，经审核通过的竞买人</w:t>
      </w:r>
      <w:r>
        <w:rPr>
          <w:rFonts w:hint="eastAsia" w:ascii="仿宋" w:hAnsi="仿宋" w:eastAsia="仿宋" w:cs="仿宋"/>
          <w:color w:val="auto"/>
          <w:sz w:val="28"/>
          <w:szCs w:val="28"/>
          <w:highlight w:val="none"/>
        </w:rPr>
        <w:t>方可</w:t>
      </w:r>
      <w:r>
        <w:rPr>
          <w:rFonts w:hint="eastAsia" w:ascii="仿宋" w:hAnsi="仿宋" w:eastAsia="仿宋" w:cs="仿宋"/>
          <w:color w:val="auto"/>
          <w:sz w:val="28"/>
          <w:szCs w:val="28"/>
          <w:highlight w:val="none"/>
          <w:lang w:val="en-US"/>
        </w:rPr>
        <w:t>参与线上竞价；</w:t>
      </w:r>
      <w:r>
        <w:rPr>
          <w:rFonts w:hint="eastAsia" w:ascii="仿宋" w:hAnsi="仿宋" w:eastAsia="仿宋" w:cs="仿宋"/>
          <w:color w:val="auto"/>
          <w:kern w:val="0"/>
          <w:sz w:val="28"/>
          <w:szCs w:val="28"/>
          <w:highlight w:val="none"/>
        </w:rPr>
        <w:t>若因任何一项不符合要求</w:t>
      </w:r>
      <w:r>
        <w:rPr>
          <w:rFonts w:hint="eastAsia" w:ascii="仿宋" w:hAnsi="仿宋" w:eastAsia="仿宋" w:cs="仿宋"/>
          <w:color w:val="auto"/>
          <w:kern w:val="0"/>
          <w:sz w:val="28"/>
          <w:szCs w:val="28"/>
          <w:highlight w:val="none"/>
          <w:lang w:val="en-US"/>
        </w:rPr>
        <w:t>的</w:t>
      </w:r>
      <w:r>
        <w:rPr>
          <w:rFonts w:hint="eastAsia" w:ascii="仿宋" w:hAnsi="仿宋" w:eastAsia="仿宋" w:cs="仿宋"/>
          <w:color w:val="auto"/>
          <w:kern w:val="0"/>
          <w:sz w:val="28"/>
          <w:szCs w:val="28"/>
          <w:highlight w:val="none"/>
        </w:rPr>
        <w:t>，拍卖人有权不通过</w:t>
      </w:r>
      <w:r>
        <w:rPr>
          <w:rFonts w:hint="eastAsia" w:ascii="仿宋" w:hAnsi="仿宋" w:eastAsia="仿宋" w:cs="仿宋"/>
          <w:color w:val="auto"/>
          <w:kern w:val="0"/>
          <w:sz w:val="28"/>
          <w:szCs w:val="28"/>
          <w:highlight w:val="none"/>
          <w:lang w:val="en-US"/>
        </w:rPr>
        <w:t>其本次参拍</w:t>
      </w:r>
      <w:r>
        <w:rPr>
          <w:rFonts w:hint="eastAsia" w:ascii="仿宋" w:hAnsi="仿宋" w:eastAsia="仿宋" w:cs="仿宋"/>
          <w:color w:val="auto"/>
          <w:kern w:val="0"/>
          <w:sz w:val="28"/>
          <w:szCs w:val="28"/>
          <w:highlight w:val="none"/>
        </w:rPr>
        <w:t>资格。</w:t>
      </w:r>
    </w:p>
    <w:p>
      <w:pPr>
        <w:widowControl/>
        <w:adjustRightInd w:val="0"/>
        <w:snapToGrid w:val="0"/>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4、未成交竞买人，已交的参拍保证金在2022年</w:t>
      </w:r>
      <w:r>
        <w:rPr>
          <w:rFonts w:hint="eastAsia" w:ascii="仿宋" w:hAnsi="仿宋" w:eastAsia="仿宋" w:cs="仿宋"/>
          <w:color w:val="auto"/>
          <w:sz w:val="28"/>
          <w:szCs w:val="28"/>
          <w:u w:val="single"/>
        </w:rPr>
        <w:t>11</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28</w:t>
      </w:r>
      <w:r>
        <w:rPr>
          <w:rFonts w:hint="eastAsia" w:ascii="仿宋" w:hAnsi="仿宋" w:eastAsia="仿宋" w:cs="仿宋"/>
          <w:color w:val="auto"/>
          <w:sz w:val="28"/>
          <w:szCs w:val="28"/>
        </w:rPr>
        <w:t>日起到绍兴市公共资源交易中心四楼资金结算窗口全额退还参拍保证金，不计息。【办理保证金退还手续：①竞买人为自然人的，应为竞买人本人，且须持本人有效身份证及保证金缴纳凭证；②竞买人本人因故无法办理的，须书面授权委托代理人。委托代理人应持授权委托书、本人及竞买人本人有效身份证原件及复印件1份、保证金缴纳凭证办理退款手续。委托代理人代理退款的，交易中心只退票据（收款人为竞买人本人的银行本票）不退现金。③竞买人是法人的，请携带有效证件、保证金缴纳凭证、及单位开具的收款收据】。保证金委托绍兴市公共资源交易中心代收代退，绍兴市公共资源交易中心根据报名情况及保证金退还意见（拍卖人出具）办理保证金退还手续。</w:t>
      </w:r>
    </w:p>
    <w:p>
      <w:pPr>
        <w:widowControl/>
        <w:adjustRightInd w:val="0"/>
        <w:snapToGrid w:val="0"/>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5、未通过资格审核者，已交的保证金在</w:t>
      </w:r>
      <w:r>
        <w:rPr>
          <w:rFonts w:hint="eastAsia" w:ascii="仿宋" w:hAnsi="仿宋" w:eastAsia="仿宋" w:cs="仿宋"/>
          <w:color w:val="auto"/>
          <w:sz w:val="28"/>
          <w:szCs w:val="28"/>
          <w:highlight w:val="none"/>
        </w:rPr>
        <w:t>2022年</w:t>
      </w:r>
      <w:r>
        <w:rPr>
          <w:rFonts w:hint="eastAsia" w:ascii="仿宋" w:hAnsi="仿宋" w:eastAsia="仿宋" w:cs="仿宋"/>
          <w:color w:val="auto"/>
          <w:sz w:val="28"/>
          <w:szCs w:val="28"/>
          <w:highlight w:val="none"/>
          <w:u w:val="single"/>
        </w:rPr>
        <w:t>11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24</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rPr>
        <w:t>起到绍兴市公共资源交易中心四楼资金结算窗口全额退还参拍保证金，不计息。【办理保证金退还手续：①自然人的，应为本人，且须持本人有效身份证及保证金缴纳凭证；②本人因故无法办理的，须书面授权委托代理人。委托代理人应持授权委托书、本人及委托人有效身份证原件及复印件1份、保证金缴纳凭证办理退款手续。委托代理人代理退款的，交易中心只退票据（收款人为委托人的银行本票）不退现金。③法人的，请携带有效证件、及保证金缴纳凭证】。</w:t>
      </w:r>
    </w:p>
    <w:p>
      <w:pPr>
        <w:widowControl/>
        <w:adjustRightInd w:val="0"/>
        <w:snapToGrid w:val="0"/>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七、拍卖文件资料获取、竞买人信息资料：</w:t>
      </w:r>
    </w:p>
    <w:p>
      <w:pPr>
        <w:widowControl/>
        <w:adjustRightInd w:val="0"/>
        <w:snapToGrid w:val="0"/>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竞买人请自行下载本次拍卖的《拍卖公告》、《竞买须知》等所有拍卖文件，仔细阅读本竞买须知及其他相关拍卖文件，对拍卖文件中所列的各项材料及其内容均须作仔细研究与详尽分析，并进行了实地勘察及向有关部门进行咨询确认。拍卖人已对拍卖文件中所述的免责条款、拍卖程序方式、标的特别说明作了明确的告知与声明；竞买人须特别对本次拍卖标的、标的瑕疵、免责条款、拍卖方式、竞买人义务以及与拍卖相关的法律后果等做深入了解，且对拍卖文件中的各项条款理解无误后才参与竞拍。一旦竞买人完成网上报名，则视为认同拍卖文件所规定的各项条款、内容解释及拍卖方式等，并接受拍卖文件的约束，承担全部责任和义务。拍卖成交后买受人必须对拍卖人存档的纸质拍卖文件资料补签字或盖章。</w:t>
      </w:r>
    </w:p>
    <w:p>
      <w:pPr>
        <w:widowControl/>
        <w:adjustRightInd w:val="0"/>
        <w:snapToGrid w:val="0"/>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竞买人在参拍前如实向中拍平台提供正确的通讯方式，上述通讯方式，如需更改，应在拍卖活动结束后与拍卖人联系确认更改。如果提供的通讯方式不准确，或不及时告知变更后的通讯方式，自行承担由此可能产生的一切法律后果。</w:t>
      </w:r>
    </w:p>
    <w:p>
      <w:pPr>
        <w:widowControl/>
        <w:adjustRightInd w:val="0"/>
        <w:snapToGrid w:val="0"/>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八、竞买人报名并缴纳相关参拍保证金，视为向拍卖人作出如下承诺:</w:t>
      </w:r>
    </w:p>
    <w:p>
      <w:pPr>
        <w:widowControl/>
        <w:adjustRightInd w:val="0"/>
        <w:snapToGrid w:val="0"/>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1、竞买人自认符合本次拍卖的竞拍资格。</w:t>
      </w:r>
    </w:p>
    <w:p>
      <w:pPr>
        <w:widowControl/>
        <w:adjustRightInd w:val="0"/>
        <w:snapToGrid w:val="0"/>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2、交易文件知悉。竞买人仔细阅读并理解了所有拍卖文件，并完全接受上述文件所规定的各项条款。</w:t>
      </w:r>
    </w:p>
    <w:p>
      <w:pPr>
        <w:widowControl/>
        <w:adjustRightInd w:val="0"/>
        <w:snapToGrid w:val="0"/>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3、标的现状知悉。竞买人已被告知并完全理解，本次拍卖标的数量、品质及周边相邻关系等均以移交时的实物现状为准。竞买人对拍卖标的内外各方面物资构造、权属问题，已作了多方位的咨询、了解、查验、核实等。</w:t>
      </w:r>
    </w:p>
    <w:p>
      <w:pPr>
        <w:widowControl/>
        <w:adjustRightInd w:val="0"/>
        <w:snapToGrid w:val="0"/>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4、风险和瑕疵知悉。竞买人认同，拍卖人已经对拍卖标的的来源、瑕疵和风险进行了提示和披露，但竞买人也并非完全依赖拍卖文件资料，竞买人已自行或委托专人对拍卖标的的来源、瑕疵和风险进行了充分尽职调查确认。竞买人一旦进入网络拍卖平台，并决定参与竞买的，视为对拍卖财产完全了解，并接受标的物以实物现状移交和一切已知及未知的瑕疵。</w:t>
      </w:r>
    </w:p>
    <w:p>
      <w:pPr>
        <w:widowControl/>
        <w:adjustRightInd w:val="0"/>
        <w:snapToGrid w:val="0"/>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5、竞买人与网络竞价平台服务系统提供者或其他网拍辅助机构签订的相关协议及约定，根据合同相对性原则，由双方自行衔接处理，与拍卖人无关。</w:t>
      </w:r>
    </w:p>
    <w:p>
      <w:pPr>
        <w:widowControl/>
        <w:adjustRightInd w:val="0"/>
        <w:snapToGrid w:val="0"/>
        <w:ind w:firstLine="560" w:firstLineChars="200"/>
        <w:jc w:val="left"/>
        <w:rPr>
          <w:rFonts w:ascii="仿宋" w:hAnsi="仿宋" w:eastAsia="仿宋" w:cs="仿宋"/>
          <w:b/>
          <w:bCs/>
          <w:kern w:val="0"/>
          <w:sz w:val="28"/>
          <w:szCs w:val="28"/>
        </w:rPr>
      </w:pPr>
      <w:r>
        <w:rPr>
          <w:rFonts w:hint="eastAsia" w:ascii="仿宋" w:hAnsi="仿宋" w:eastAsia="仿宋" w:cs="仿宋"/>
          <w:kern w:val="0"/>
          <w:sz w:val="28"/>
          <w:szCs w:val="28"/>
        </w:rPr>
        <w:t>★</w:t>
      </w:r>
      <w:r>
        <w:rPr>
          <w:rFonts w:hint="eastAsia" w:ascii="仿宋" w:hAnsi="仿宋" w:eastAsia="仿宋" w:cs="仿宋"/>
          <w:b/>
          <w:bCs/>
          <w:kern w:val="0"/>
          <w:sz w:val="28"/>
          <w:szCs w:val="28"/>
        </w:rPr>
        <w:t>九、网络竞价方式：</w:t>
      </w:r>
    </w:p>
    <w:p>
      <w:pPr>
        <w:widowControl/>
        <w:adjustRightInd w:val="0"/>
        <w:snapToGrid w:val="0"/>
        <w:ind w:firstLine="562" w:firstLineChars="200"/>
        <w:jc w:val="left"/>
        <w:rPr>
          <w:rFonts w:ascii="仿宋" w:hAnsi="仿宋" w:eastAsia="仿宋" w:cs="仿宋"/>
          <w:kern w:val="0"/>
          <w:sz w:val="28"/>
          <w:szCs w:val="28"/>
          <w:highlight w:val="none"/>
        </w:rPr>
      </w:pPr>
      <w:r>
        <w:rPr>
          <w:rFonts w:hint="eastAsia" w:ascii="仿宋" w:hAnsi="仿宋" w:eastAsia="仿宋" w:cs="仿宋"/>
          <w:b/>
          <w:bCs/>
          <w:kern w:val="0"/>
          <w:sz w:val="28"/>
          <w:szCs w:val="28"/>
        </w:rPr>
        <w:t>本次拍卖通过中拍平台采用网络增价拍卖方式。竞价分为：自由竞价和限时竞价两个</w:t>
      </w:r>
      <w:r>
        <w:rPr>
          <w:rFonts w:hint="eastAsia" w:ascii="仿宋" w:hAnsi="仿宋" w:eastAsia="仿宋" w:cs="仿宋"/>
          <w:b/>
          <w:bCs/>
          <w:kern w:val="0"/>
          <w:sz w:val="28"/>
          <w:szCs w:val="28"/>
          <w:highlight w:val="none"/>
        </w:rPr>
        <w:t>阶段。</w:t>
      </w:r>
    </w:p>
    <w:p>
      <w:pPr>
        <w:widowControl/>
        <w:adjustRightInd w:val="0"/>
        <w:snapToGrid w:val="0"/>
        <w:ind w:firstLine="562" w:firstLineChars="200"/>
        <w:jc w:val="left"/>
        <w:rPr>
          <w:rFonts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在网络拍卖开始后，在自由竞价时间（120分钟）内，竞买人应根据平台页面上显示的当前价格进行出价。系统提供固定的加价幅度按钮，竞买人可以选择按钮出价，也可以自行录入价格，自行加价额必须系统设定加价幅度的整倍数，否则出价无效，系统不予记录。竞买人的网络竞价以电脑显示的先后顺序确定。自由竞价结束，限时竞价时间5分钟启动，应价结束时点内无应价出现，电子应价系统准时自动结束，若有应价，电子应价系统自动继续延续5分钟，以此类推，直至无应价出现，电子应价系统自动关闭，最高应价的竞买人即为买受人，系统所记录的信息将是网上竞买人、买受人竞买行为有效性的法律依据。</w:t>
      </w:r>
    </w:p>
    <w:p>
      <w:pPr>
        <w:widowControl/>
        <w:adjustRightInd w:val="0"/>
        <w:snapToGrid w:val="0"/>
        <w:ind w:firstLine="562" w:firstLineChars="200"/>
        <w:jc w:val="left"/>
        <w:rPr>
          <w:rFonts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一人报名出价，满足成交条件，即可成交。</w:t>
      </w:r>
    </w:p>
    <w:p>
      <w:pPr>
        <w:widowControl/>
        <w:adjustRightInd w:val="0"/>
        <w:snapToGrid w:val="0"/>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以上具体竞价规则详见中拍平台相关竞价规则介绍，以中拍平台最近更新的竞价规则为准。网络存在各种风险，包括但不限于网络中断、系统错误、服务器宕机等，竞买人应时刻确保网络畅通，若竞买人报名后未按时进入网上拍卖会或中途退出或出现上述的网络风险，将不影响网上拍卖会的继续进行；因此而未拍得标的的后果，由该竞买人自负。</w:t>
      </w:r>
    </w:p>
    <w:p>
      <w:pPr>
        <w:widowControl/>
        <w:adjustRightInd w:val="0"/>
        <w:snapToGrid w:val="0"/>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在拍卖成交前的任何阶段，拍卖人有权根据情况对起拍价和加价幅度进行调整，拒绝任何无效应价，撤回或缓拍拍卖标的；有权判断应价错误或纠纷,并重新提呈或恢复拍卖；有权采取其他合理的行为及措施。拍卖师在拍卖会中亦可行使上述权力。</w:t>
      </w:r>
    </w:p>
    <w:p>
      <w:pPr>
        <w:widowControl/>
        <w:adjustRightInd w:val="0"/>
        <w:snapToGrid w:val="0"/>
        <w:ind w:firstLine="562" w:firstLineChars="200"/>
        <w:jc w:val="left"/>
        <w:rPr>
          <w:rFonts w:ascii="仿宋" w:hAnsi="仿宋" w:eastAsia="仿宋" w:cs="仿宋"/>
          <w:kern w:val="0"/>
          <w:sz w:val="28"/>
          <w:szCs w:val="28"/>
          <w:highlight w:val="none"/>
        </w:rPr>
      </w:pPr>
      <w:r>
        <w:rPr>
          <w:rFonts w:hint="eastAsia" w:ascii="仿宋" w:hAnsi="仿宋" w:eastAsia="仿宋" w:cs="仿宋"/>
          <w:b/>
          <w:bCs/>
          <w:kern w:val="0"/>
          <w:sz w:val="28"/>
          <w:szCs w:val="28"/>
          <w:highlight w:val="none"/>
        </w:rPr>
        <w:t>十、</w:t>
      </w:r>
      <w:r>
        <w:rPr>
          <w:rFonts w:hint="eastAsia" w:ascii="仿宋" w:hAnsi="仿宋" w:eastAsia="仿宋" w:cs="仿宋"/>
          <w:kern w:val="0"/>
          <w:sz w:val="28"/>
          <w:szCs w:val="28"/>
          <w:highlight w:val="none"/>
        </w:rPr>
        <w:t>参加竞买的人应当遵守竞买须知的规定，不得阻挠其他竞买人竞拍，不得操纵、垄断竞拍价格，严禁竞买人恶意串标，上述行为一经发现，将撤销其买受资格，并追究相关的法律责任。</w:t>
      </w:r>
    </w:p>
    <w:p>
      <w:pPr>
        <w:widowControl/>
        <w:adjustRightInd w:val="0"/>
        <w:snapToGrid w:val="0"/>
        <w:ind w:firstLine="562" w:firstLineChars="200"/>
        <w:jc w:val="left"/>
        <w:rPr>
          <w:rFonts w:ascii="仿宋" w:hAnsi="仿宋" w:eastAsia="仿宋" w:cs="仿宋"/>
          <w:kern w:val="0"/>
          <w:sz w:val="28"/>
          <w:szCs w:val="28"/>
          <w:highlight w:val="none"/>
        </w:rPr>
      </w:pPr>
      <w:r>
        <w:rPr>
          <w:rFonts w:hint="eastAsia" w:ascii="仿宋" w:hAnsi="仿宋" w:eastAsia="仿宋" w:cs="仿宋"/>
          <w:b/>
          <w:bCs/>
          <w:kern w:val="0"/>
          <w:sz w:val="28"/>
          <w:szCs w:val="28"/>
          <w:highlight w:val="none"/>
        </w:rPr>
        <w:t>十一、</w:t>
      </w:r>
      <w:r>
        <w:rPr>
          <w:rFonts w:hint="eastAsia" w:ascii="仿宋" w:hAnsi="仿宋" w:eastAsia="仿宋" w:cs="仿宋"/>
          <w:kern w:val="0"/>
          <w:sz w:val="28"/>
          <w:szCs w:val="28"/>
          <w:highlight w:val="none"/>
        </w:rPr>
        <w:t>因不可抗力或网络竞价平台服务提供者因系统故障、病毒入侵、黑客攻击、数据错误中断等，对竞买人产生的损失与拍卖人无涉。</w:t>
      </w:r>
    </w:p>
    <w:p>
      <w:pPr>
        <w:widowControl/>
        <w:adjustRightInd w:val="0"/>
        <w:snapToGrid w:val="0"/>
        <w:ind w:firstLine="562" w:firstLineChars="200"/>
        <w:jc w:val="left"/>
        <w:rPr>
          <w:rFonts w:ascii="仿宋" w:hAnsi="仿宋" w:eastAsia="仿宋" w:cs="仿宋"/>
          <w:kern w:val="0"/>
          <w:sz w:val="28"/>
          <w:szCs w:val="28"/>
          <w:highlight w:val="none"/>
        </w:rPr>
      </w:pPr>
      <w:r>
        <w:rPr>
          <w:rFonts w:hint="eastAsia" w:ascii="仿宋" w:hAnsi="仿宋" w:eastAsia="仿宋" w:cs="仿宋"/>
          <w:b/>
          <w:bCs/>
          <w:kern w:val="0"/>
          <w:sz w:val="28"/>
          <w:szCs w:val="28"/>
          <w:highlight w:val="none"/>
        </w:rPr>
        <w:t>十二、</w:t>
      </w:r>
      <w:r>
        <w:rPr>
          <w:rFonts w:hint="eastAsia" w:ascii="仿宋" w:hAnsi="仿宋" w:eastAsia="仿宋" w:cs="仿宋"/>
          <w:kern w:val="0"/>
          <w:sz w:val="28"/>
          <w:szCs w:val="28"/>
          <w:highlight w:val="none"/>
        </w:rPr>
        <w:t>拍卖人有权根据实际情况对线上公示拍卖文件进行修正或补充，拍卖人可在拍卖竞价开始前以线上变更调整拍卖公告、竞买须知、附件等内容和设置（包括但不限于标的目录、预展看样时间、报名截止时间、开拍时间、自由竞价时间、限时竞价时间、参拍保证金支付时间、起拍价、保留价、加价幅度、特别说明、附件合同等）的方式告知竞买人。凡竞买人应价，将被视为已经知悉并接受认可该修正或补充，故竞买人须在拍卖出价当日再次查询线上拍卖文件。本竞买须知及修正与补充均作为《拍卖成交确认书》的附件，具有法律效力。</w:t>
      </w:r>
    </w:p>
    <w:p>
      <w:pPr>
        <w:widowControl/>
        <w:adjustRightInd w:val="0"/>
        <w:snapToGrid w:val="0"/>
        <w:ind w:firstLine="560" w:firstLineChars="200"/>
        <w:jc w:val="left"/>
        <w:rPr>
          <w:rFonts w:ascii="仿宋" w:hAnsi="仿宋" w:eastAsia="仿宋" w:cs="仿宋"/>
          <w:b/>
          <w:bCs/>
          <w:kern w:val="0"/>
          <w:sz w:val="28"/>
          <w:szCs w:val="28"/>
          <w:highlight w:val="none"/>
        </w:rPr>
      </w:pPr>
      <w:r>
        <w:rPr>
          <w:rFonts w:hint="eastAsia" w:ascii="仿宋" w:hAnsi="仿宋" w:eastAsia="仿宋" w:cs="仿宋"/>
          <w:kern w:val="0"/>
          <w:sz w:val="28"/>
          <w:szCs w:val="28"/>
          <w:highlight w:val="none"/>
        </w:rPr>
        <w:t>★</w:t>
      </w:r>
      <w:r>
        <w:rPr>
          <w:rFonts w:hint="eastAsia" w:ascii="仿宋" w:hAnsi="仿宋" w:eastAsia="仿宋" w:cs="仿宋"/>
          <w:b/>
          <w:bCs/>
          <w:kern w:val="0"/>
          <w:sz w:val="28"/>
          <w:szCs w:val="28"/>
          <w:highlight w:val="none"/>
        </w:rPr>
        <w:t>十三、拍卖成交后，拍卖成交款、履约保证金、</w:t>
      </w:r>
      <w:r>
        <w:rPr>
          <w:rFonts w:hint="eastAsia" w:ascii="仿宋_GB2312" w:hAnsi="仿宋_GB2312" w:eastAsia="仿宋_GB2312" w:cs="仿宋_GB2312"/>
          <w:b/>
          <w:bCs/>
          <w:sz w:val="28"/>
          <w:szCs w:val="28"/>
          <w:highlight w:val="none"/>
        </w:rPr>
        <w:t>安全环保专项保证金</w:t>
      </w:r>
      <w:r>
        <w:rPr>
          <w:rFonts w:hint="eastAsia" w:ascii="仿宋" w:hAnsi="仿宋" w:eastAsia="仿宋" w:cs="仿宋"/>
          <w:b/>
          <w:bCs/>
          <w:sz w:val="28"/>
          <w:szCs w:val="28"/>
          <w:highlight w:val="none"/>
        </w:rPr>
        <w:t>、</w:t>
      </w:r>
      <w:r>
        <w:rPr>
          <w:rFonts w:hint="eastAsia" w:ascii="仿宋" w:hAnsi="仿宋" w:eastAsia="仿宋" w:cs="仿宋"/>
          <w:b/>
          <w:bCs/>
          <w:kern w:val="0"/>
          <w:sz w:val="28"/>
          <w:szCs w:val="28"/>
          <w:highlight w:val="none"/>
        </w:rPr>
        <w:t>拍卖佣金、软件服务费等款项的支付事项：</w:t>
      </w:r>
    </w:p>
    <w:p>
      <w:pPr>
        <w:widowControl/>
        <w:adjustRightInd w:val="0"/>
        <w:snapToGrid w:val="0"/>
        <w:ind w:firstLine="562" w:firstLineChars="200"/>
        <w:jc w:val="left"/>
        <w:rPr>
          <w:rFonts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1、拍卖成交后，买受人须</w:t>
      </w:r>
      <w:r>
        <w:rPr>
          <w:rFonts w:hint="eastAsia" w:ascii="仿宋" w:hAnsi="仿宋" w:eastAsia="仿宋" w:cs="仿宋"/>
          <w:b/>
          <w:bCs/>
          <w:kern w:val="0"/>
          <w:sz w:val="28"/>
          <w:szCs w:val="28"/>
          <w:highlight w:val="none"/>
          <w:u w:val="single"/>
        </w:rPr>
        <w:t>在</w:t>
      </w:r>
      <w:r>
        <w:rPr>
          <w:rFonts w:hint="eastAsia" w:ascii="仿宋" w:hAnsi="仿宋" w:eastAsia="仿宋" w:cs="仿宋"/>
          <w:b/>
          <w:bCs/>
          <w:kern w:val="0"/>
          <w:sz w:val="28"/>
          <w:szCs w:val="28"/>
          <w:highlight w:val="none"/>
        </w:rPr>
        <w:t>2022年</w:t>
      </w:r>
      <w:r>
        <w:rPr>
          <w:rFonts w:hint="eastAsia" w:ascii="仿宋" w:hAnsi="仿宋" w:eastAsia="仿宋" w:cs="仿宋"/>
          <w:b/>
          <w:bCs/>
          <w:kern w:val="0"/>
          <w:sz w:val="28"/>
          <w:szCs w:val="28"/>
          <w:highlight w:val="none"/>
          <w:u w:val="single"/>
        </w:rPr>
        <w:t>11</w:t>
      </w:r>
      <w:r>
        <w:rPr>
          <w:rFonts w:hint="eastAsia" w:ascii="仿宋" w:hAnsi="仿宋" w:eastAsia="仿宋" w:cs="仿宋"/>
          <w:b/>
          <w:bCs/>
          <w:kern w:val="0"/>
          <w:sz w:val="28"/>
          <w:szCs w:val="28"/>
          <w:highlight w:val="none"/>
        </w:rPr>
        <w:t>月</w:t>
      </w:r>
      <w:r>
        <w:rPr>
          <w:rFonts w:hint="eastAsia" w:ascii="仿宋" w:hAnsi="仿宋" w:eastAsia="仿宋" w:cs="仿宋"/>
          <w:b/>
          <w:bCs/>
          <w:kern w:val="0"/>
          <w:sz w:val="28"/>
          <w:szCs w:val="28"/>
          <w:highlight w:val="none"/>
          <w:u w:val="single"/>
        </w:rPr>
        <w:t>28</w:t>
      </w:r>
      <w:r>
        <w:rPr>
          <w:rFonts w:hint="eastAsia" w:ascii="仿宋" w:hAnsi="仿宋" w:eastAsia="仿宋" w:cs="仿宋"/>
          <w:b/>
          <w:bCs/>
          <w:kern w:val="0"/>
          <w:sz w:val="28"/>
          <w:szCs w:val="28"/>
          <w:highlight w:val="none"/>
        </w:rPr>
        <w:t>日前到绍兴市越城区华滨路102号签署《拍卖成交确认书》。</w:t>
      </w:r>
    </w:p>
    <w:p>
      <w:pPr>
        <w:widowControl/>
        <w:adjustRightInd w:val="0"/>
        <w:snapToGrid w:val="0"/>
        <w:ind w:firstLine="562" w:firstLineChars="200"/>
        <w:jc w:val="left"/>
        <w:rPr>
          <w:rFonts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2、拍卖佣金的支付方式：拍卖成交后，买受人须向拍卖人支付的佣金为拍卖成交款的</w:t>
      </w:r>
      <w:r>
        <w:rPr>
          <w:rFonts w:hint="eastAsia" w:ascii="仿宋" w:hAnsi="仿宋" w:eastAsia="仿宋" w:cs="仿宋"/>
          <w:b/>
          <w:bCs/>
          <w:kern w:val="0"/>
          <w:sz w:val="28"/>
          <w:szCs w:val="28"/>
          <w:highlight w:val="none"/>
          <w:u w:val="single"/>
        </w:rPr>
        <w:t xml:space="preserve">0.44 </w:t>
      </w:r>
      <w:r>
        <w:rPr>
          <w:rFonts w:ascii="仿宋" w:hAnsi="仿宋" w:eastAsia="仿宋" w:cs="仿宋"/>
          <w:b/>
          <w:bCs/>
          <w:kern w:val="0"/>
          <w:sz w:val="28"/>
          <w:szCs w:val="28"/>
          <w:highlight w:val="none"/>
        </w:rPr>
        <w:t>%（</w:t>
      </w:r>
      <w:r>
        <w:rPr>
          <w:rFonts w:hint="eastAsia" w:ascii="仿宋" w:hAnsi="仿宋" w:eastAsia="仿宋" w:cs="仿宋"/>
          <w:b/>
          <w:bCs/>
          <w:kern w:val="0"/>
          <w:sz w:val="28"/>
          <w:szCs w:val="28"/>
          <w:highlight w:val="none"/>
        </w:rPr>
        <w:t>即200000</w:t>
      </w:r>
      <w:r>
        <w:rPr>
          <w:rFonts w:ascii="仿宋" w:hAnsi="仿宋" w:eastAsia="仿宋" w:cs="仿宋"/>
          <w:b/>
          <w:bCs/>
          <w:kern w:val="0"/>
          <w:sz w:val="28"/>
          <w:szCs w:val="28"/>
          <w:highlight w:val="none"/>
        </w:rPr>
        <w:t>*成交</w:t>
      </w:r>
      <w:r>
        <w:rPr>
          <w:rFonts w:hint="eastAsia" w:ascii="仿宋" w:hAnsi="仿宋" w:eastAsia="仿宋" w:cs="仿宋"/>
          <w:b/>
          <w:bCs/>
          <w:kern w:val="0"/>
          <w:sz w:val="28"/>
          <w:szCs w:val="28"/>
          <w:highlight w:val="none"/>
        </w:rPr>
        <w:t>单</w:t>
      </w:r>
      <w:r>
        <w:rPr>
          <w:rFonts w:ascii="仿宋" w:hAnsi="仿宋" w:eastAsia="仿宋" w:cs="仿宋"/>
          <w:b/>
          <w:bCs/>
          <w:kern w:val="0"/>
          <w:sz w:val="28"/>
          <w:szCs w:val="28"/>
          <w:highlight w:val="none"/>
        </w:rPr>
        <w:t>价*</w:t>
      </w:r>
      <w:r>
        <w:rPr>
          <w:rFonts w:hint="eastAsia" w:ascii="仿宋" w:hAnsi="仿宋" w:eastAsia="仿宋" w:cs="仿宋"/>
          <w:b/>
          <w:bCs/>
          <w:kern w:val="0"/>
          <w:sz w:val="28"/>
          <w:szCs w:val="28"/>
          <w:highlight w:val="none"/>
          <w:u w:val="single"/>
        </w:rPr>
        <w:t xml:space="preserve">0.44 </w:t>
      </w:r>
      <w:r>
        <w:rPr>
          <w:rFonts w:ascii="仿宋" w:hAnsi="仿宋" w:eastAsia="仿宋" w:cs="仿宋"/>
          <w:b/>
          <w:bCs/>
          <w:kern w:val="0"/>
          <w:sz w:val="28"/>
          <w:szCs w:val="28"/>
          <w:highlight w:val="none"/>
        </w:rPr>
        <w:t>%；不论最终</w:t>
      </w:r>
      <w:r>
        <w:rPr>
          <w:rFonts w:hint="eastAsia" w:ascii="仿宋" w:hAnsi="仿宋" w:eastAsia="仿宋" w:cs="仿宋"/>
          <w:b/>
          <w:bCs/>
          <w:kern w:val="0"/>
          <w:sz w:val="28"/>
          <w:szCs w:val="28"/>
          <w:highlight w:val="none"/>
        </w:rPr>
        <w:t>买卖合同</w:t>
      </w:r>
      <w:r>
        <w:rPr>
          <w:rFonts w:ascii="仿宋" w:hAnsi="仿宋" w:eastAsia="仿宋" w:cs="仿宋"/>
          <w:b/>
          <w:bCs/>
          <w:kern w:val="0"/>
          <w:sz w:val="28"/>
          <w:szCs w:val="28"/>
          <w:highlight w:val="none"/>
        </w:rPr>
        <w:t>结算金额多少，佣金不作</w:t>
      </w:r>
      <w:r>
        <w:rPr>
          <w:rFonts w:hint="eastAsia" w:ascii="仿宋" w:hAnsi="仿宋" w:eastAsia="仿宋" w:cs="仿宋"/>
          <w:b/>
          <w:bCs/>
          <w:kern w:val="0"/>
          <w:sz w:val="28"/>
          <w:szCs w:val="28"/>
          <w:highlight w:val="none"/>
        </w:rPr>
        <w:t>调整</w:t>
      </w:r>
      <w:r>
        <w:rPr>
          <w:rFonts w:ascii="仿宋" w:hAnsi="仿宋" w:eastAsia="仿宋" w:cs="仿宋"/>
          <w:b/>
          <w:bCs/>
          <w:kern w:val="0"/>
          <w:sz w:val="28"/>
          <w:szCs w:val="28"/>
          <w:highlight w:val="none"/>
        </w:rPr>
        <w:t>）</w:t>
      </w:r>
      <w:r>
        <w:rPr>
          <w:rFonts w:hint="eastAsia" w:ascii="仿宋" w:hAnsi="仿宋" w:eastAsia="仿宋" w:cs="仿宋"/>
          <w:b/>
          <w:bCs/>
          <w:kern w:val="0"/>
          <w:sz w:val="28"/>
          <w:szCs w:val="28"/>
          <w:highlight w:val="none"/>
        </w:rPr>
        <w:t>。拍卖佣金买受人须在2022年</w:t>
      </w:r>
      <w:r>
        <w:rPr>
          <w:rFonts w:hint="eastAsia" w:ascii="仿宋" w:hAnsi="仿宋" w:eastAsia="仿宋" w:cs="仿宋"/>
          <w:b/>
          <w:bCs/>
          <w:kern w:val="0"/>
          <w:sz w:val="28"/>
          <w:szCs w:val="28"/>
          <w:highlight w:val="none"/>
          <w:u w:val="single"/>
        </w:rPr>
        <w:t>11</w:t>
      </w:r>
      <w:r>
        <w:rPr>
          <w:rFonts w:hint="eastAsia" w:ascii="仿宋" w:hAnsi="仿宋" w:eastAsia="仿宋" w:cs="仿宋"/>
          <w:b/>
          <w:bCs/>
          <w:kern w:val="0"/>
          <w:sz w:val="28"/>
          <w:szCs w:val="28"/>
          <w:highlight w:val="none"/>
        </w:rPr>
        <w:t>月</w:t>
      </w:r>
      <w:r>
        <w:rPr>
          <w:rFonts w:hint="eastAsia" w:ascii="仿宋" w:hAnsi="仿宋" w:eastAsia="仿宋" w:cs="仿宋"/>
          <w:b/>
          <w:bCs/>
          <w:kern w:val="0"/>
          <w:sz w:val="28"/>
          <w:szCs w:val="28"/>
          <w:highlight w:val="none"/>
          <w:u w:val="single"/>
        </w:rPr>
        <w:t>28</w:t>
      </w:r>
      <w:r>
        <w:rPr>
          <w:rFonts w:hint="eastAsia" w:ascii="仿宋" w:hAnsi="仿宋" w:eastAsia="仿宋" w:cs="仿宋"/>
          <w:b/>
          <w:bCs/>
          <w:kern w:val="0"/>
          <w:sz w:val="28"/>
          <w:szCs w:val="28"/>
          <w:highlight w:val="none"/>
        </w:rPr>
        <w:t>日前足额缴入指定账户</w:t>
      </w:r>
      <w:r>
        <w:rPr>
          <w:rFonts w:hint="eastAsia" w:ascii="仿宋" w:hAnsi="仿宋" w:eastAsia="仿宋" w:cs="仿宋"/>
          <w:b/>
          <w:bCs/>
          <w:kern w:val="0"/>
          <w:sz w:val="28"/>
          <w:szCs w:val="28"/>
          <w:highlight w:val="none"/>
          <w:u w:val="single"/>
        </w:rPr>
        <w:t>（户名：浙江天恒拍卖有限公司诸暨分公司，开户行：农行绍兴解北支行，账号：195006 0104000 5290）</w:t>
      </w:r>
      <w:r>
        <w:rPr>
          <w:rFonts w:hint="eastAsia" w:ascii="仿宋" w:hAnsi="仿宋" w:eastAsia="仿宋" w:cs="仿宋"/>
          <w:b/>
          <w:bCs/>
          <w:kern w:val="0"/>
          <w:sz w:val="28"/>
          <w:szCs w:val="28"/>
          <w:highlight w:val="none"/>
        </w:rPr>
        <w:t>。到账后，拍卖人向买受人开具增值税普通发票。</w:t>
      </w:r>
    </w:p>
    <w:p>
      <w:pPr>
        <w:widowControl/>
        <w:adjustRightInd w:val="0"/>
        <w:snapToGrid w:val="0"/>
        <w:ind w:firstLine="562" w:firstLineChars="200"/>
        <w:jc w:val="left"/>
        <w:rPr>
          <w:color w:val="auto"/>
          <w:highlight w:val="none"/>
        </w:rPr>
      </w:pPr>
      <w:r>
        <w:rPr>
          <w:rFonts w:hint="eastAsia" w:ascii="仿宋" w:hAnsi="仿宋" w:eastAsia="仿宋" w:cs="仿宋"/>
          <w:b/>
          <w:bCs/>
          <w:color w:val="auto"/>
          <w:kern w:val="0"/>
          <w:sz w:val="28"/>
          <w:szCs w:val="28"/>
          <w:highlight w:val="none"/>
        </w:rPr>
        <w:t>注：因招标确认的本次拍卖佣金为拍卖成交款的</w:t>
      </w:r>
      <w:r>
        <w:rPr>
          <w:rFonts w:hint="eastAsia" w:ascii="仿宋" w:hAnsi="仿宋" w:eastAsia="仿宋" w:cs="仿宋"/>
          <w:b/>
          <w:bCs/>
          <w:color w:val="auto"/>
          <w:kern w:val="0"/>
          <w:sz w:val="28"/>
          <w:szCs w:val="28"/>
          <w:highlight w:val="none"/>
          <w:u w:val="single"/>
        </w:rPr>
        <w:t xml:space="preserve">0.59% </w:t>
      </w:r>
      <w:r>
        <w:rPr>
          <w:rFonts w:hint="eastAsia" w:ascii="仿宋" w:hAnsi="仿宋" w:eastAsia="仿宋" w:cs="仿宋"/>
          <w:b/>
          <w:bCs/>
          <w:color w:val="auto"/>
          <w:kern w:val="0"/>
          <w:sz w:val="28"/>
          <w:szCs w:val="28"/>
          <w:highlight w:val="none"/>
        </w:rPr>
        <w:t>，现改为线上拍卖后，扣除买受人线上需要支付的软件服务费拍卖成交款的</w:t>
      </w:r>
      <w:r>
        <w:rPr>
          <w:rFonts w:hint="eastAsia" w:ascii="仿宋" w:hAnsi="仿宋" w:eastAsia="仿宋" w:cs="仿宋"/>
          <w:b/>
          <w:bCs/>
          <w:color w:val="auto"/>
          <w:kern w:val="0"/>
          <w:sz w:val="28"/>
          <w:szCs w:val="28"/>
          <w:highlight w:val="none"/>
          <w:u w:val="single"/>
        </w:rPr>
        <w:t>0.15%</w:t>
      </w:r>
      <w:r>
        <w:rPr>
          <w:rFonts w:hint="eastAsia" w:ascii="仿宋" w:hAnsi="仿宋" w:eastAsia="仿宋" w:cs="仿宋"/>
          <w:b/>
          <w:bCs/>
          <w:color w:val="auto"/>
          <w:kern w:val="0"/>
          <w:sz w:val="28"/>
          <w:szCs w:val="28"/>
          <w:highlight w:val="none"/>
        </w:rPr>
        <w:t>，剩余买受人支付的拍卖佣金为拍卖成交款的</w:t>
      </w:r>
      <w:r>
        <w:rPr>
          <w:rFonts w:hint="eastAsia" w:ascii="仿宋" w:hAnsi="仿宋" w:eastAsia="仿宋" w:cs="仿宋"/>
          <w:b/>
          <w:bCs/>
          <w:color w:val="auto"/>
          <w:kern w:val="0"/>
          <w:sz w:val="28"/>
          <w:szCs w:val="28"/>
          <w:highlight w:val="none"/>
          <w:u w:val="single"/>
        </w:rPr>
        <w:t xml:space="preserve">0.44% </w:t>
      </w:r>
      <w:r>
        <w:rPr>
          <w:rFonts w:hint="eastAsia" w:ascii="仿宋" w:hAnsi="仿宋" w:eastAsia="仿宋" w:cs="仿宋"/>
          <w:b/>
          <w:bCs/>
          <w:color w:val="auto"/>
          <w:kern w:val="0"/>
          <w:sz w:val="28"/>
          <w:szCs w:val="28"/>
          <w:highlight w:val="none"/>
        </w:rPr>
        <w:t>。</w:t>
      </w:r>
    </w:p>
    <w:p>
      <w:pPr>
        <w:widowControl/>
        <w:adjustRightInd w:val="0"/>
        <w:snapToGrid w:val="0"/>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highlight w:val="none"/>
        </w:rPr>
        <w:t>3、软件服务费的支付方式：根据中拍平台“关于收取软件使用</w:t>
      </w:r>
      <w:r>
        <w:rPr>
          <w:rFonts w:hint="eastAsia" w:ascii="仿宋" w:hAnsi="仿宋" w:eastAsia="仿宋" w:cs="仿宋"/>
          <w:b/>
          <w:bCs/>
          <w:kern w:val="0"/>
          <w:sz w:val="28"/>
          <w:szCs w:val="28"/>
        </w:rPr>
        <w:t>费及发布《平台收费规则》的公告”，成交后，买受人应按中拍平台收费标准支付软件服务费。拍卖成交后，平台系统会生成相应金额的软件使用费订单，买受人应在订单生成之日起的3日内完成支付。买受人可在支付软件使用费时填写发票信息，并在完成支付后自行下载发票。</w:t>
      </w:r>
    </w:p>
    <w:p>
      <w:pPr>
        <w:widowControl/>
        <w:adjustRightInd w:val="0"/>
        <w:snapToGrid w:val="0"/>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注：软件服务费最终收取标准及方式以中拍平台通知公告为准（https://paimai.caa123.org.cn/pages/help/helpcenter_charge.html）。</w:t>
      </w:r>
    </w:p>
    <w:p>
      <w:pPr>
        <w:widowControl/>
        <w:numPr>
          <w:ilvl w:val="0"/>
          <w:numId w:val="1"/>
        </w:numPr>
        <w:adjustRightInd w:val="0"/>
        <w:snapToGrid w:val="0"/>
        <w:ind w:firstLine="562" w:firstLineChars="200"/>
        <w:rPr>
          <w:rFonts w:ascii="仿宋" w:hAnsi="仿宋" w:eastAsia="仿宋" w:cs="仿宋"/>
          <w:b/>
          <w:bCs/>
          <w:sz w:val="28"/>
          <w:szCs w:val="28"/>
          <w:highlight w:val="none"/>
        </w:rPr>
      </w:pPr>
      <w:r>
        <w:rPr>
          <w:rFonts w:hint="eastAsia" w:ascii="仿宋" w:hAnsi="仿宋" w:eastAsia="仿宋" w:cs="仿宋"/>
          <w:b/>
          <w:bCs/>
          <w:kern w:val="0"/>
          <w:sz w:val="28"/>
          <w:szCs w:val="28"/>
          <w:highlight w:val="none"/>
        </w:rPr>
        <w:t>拍卖成交款及合同履约保证金、安全环保专项保证金的支付方式：</w:t>
      </w:r>
    </w:p>
    <w:p>
      <w:pPr>
        <w:widowControl/>
        <w:adjustRightInd w:val="0"/>
        <w:snapToGrid w:val="0"/>
        <w:ind w:firstLine="562" w:firstLineChars="200"/>
        <w:rPr>
          <w:rFonts w:ascii="仿宋" w:hAnsi="仿宋" w:eastAsia="仿宋" w:cs="仿宋"/>
          <w:b/>
          <w:bCs/>
          <w:sz w:val="28"/>
          <w:szCs w:val="28"/>
          <w:highlight w:val="none"/>
        </w:rPr>
      </w:pPr>
      <w:r>
        <w:rPr>
          <w:rFonts w:hint="eastAsia" w:ascii="仿宋" w:hAnsi="仿宋" w:eastAsia="仿宋" w:cs="仿宋"/>
          <w:b/>
          <w:bCs/>
          <w:kern w:val="0"/>
          <w:sz w:val="28"/>
          <w:szCs w:val="28"/>
          <w:highlight w:val="none"/>
        </w:rPr>
        <w:t>（1）、</w:t>
      </w:r>
      <w:r>
        <w:rPr>
          <w:rFonts w:hint="eastAsia" w:ascii="仿宋" w:hAnsi="仿宋" w:eastAsia="仿宋" w:cs="仿宋"/>
          <w:b/>
          <w:bCs/>
          <w:sz w:val="28"/>
          <w:szCs w:val="28"/>
          <w:highlight w:val="none"/>
        </w:rPr>
        <w:t>拍卖成交款=200000×成交单价。买受人在2022年</w:t>
      </w:r>
      <w:r>
        <w:rPr>
          <w:rFonts w:hint="eastAsia" w:ascii="仿宋" w:hAnsi="仿宋" w:eastAsia="仿宋" w:cs="仿宋"/>
          <w:b/>
          <w:bCs/>
          <w:sz w:val="28"/>
          <w:szCs w:val="28"/>
          <w:highlight w:val="none"/>
          <w:u w:val="single"/>
        </w:rPr>
        <w:t>12</w:t>
      </w:r>
      <w:r>
        <w:rPr>
          <w:rFonts w:hint="eastAsia" w:ascii="仿宋" w:hAnsi="仿宋" w:eastAsia="仿宋" w:cs="仿宋"/>
          <w:b/>
          <w:bCs/>
          <w:sz w:val="28"/>
          <w:szCs w:val="28"/>
          <w:highlight w:val="none"/>
        </w:rPr>
        <w:t>月</w:t>
      </w:r>
      <w:r>
        <w:rPr>
          <w:rFonts w:hint="eastAsia" w:ascii="仿宋" w:hAnsi="仿宋" w:eastAsia="仿宋" w:cs="仿宋"/>
          <w:b/>
          <w:bCs/>
          <w:sz w:val="28"/>
          <w:szCs w:val="28"/>
          <w:highlight w:val="none"/>
          <w:u w:val="single"/>
        </w:rPr>
        <w:t>2</w:t>
      </w:r>
      <w:r>
        <w:rPr>
          <w:rFonts w:hint="eastAsia" w:ascii="仿宋" w:hAnsi="仿宋" w:eastAsia="仿宋" w:cs="仿宋"/>
          <w:b/>
          <w:bCs/>
          <w:sz w:val="28"/>
          <w:szCs w:val="28"/>
          <w:highlight w:val="none"/>
        </w:rPr>
        <w:t>日下午16:00前向委托人指定银行账户付清。</w:t>
      </w:r>
      <w:r>
        <w:rPr>
          <w:rFonts w:hint="eastAsia" w:ascii="仿宋" w:hAnsi="仿宋" w:eastAsia="仿宋" w:cs="仿宋"/>
          <w:b/>
          <w:bCs/>
          <w:sz w:val="28"/>
          <w:szCs w:val="28"/>
          <w:highlight w:val="none"/>
          <w:u w:val="single"/>
        </w:rPr>
        <w:t>拍卖成交款收款账户：</w:t>
      </w:r>
      <w:r>
        <w:rPr>
          <w:rFonts w:hint="eastAsia" w:ascii="仿宋" w:hAnsi="仿宋" w:eastAsia="仿宋" w:cs="仿宋"/>
          <w:b/>
          <w:bCs/>
          <w:kern w:val="0"/>
          <w:sz w:val="28"/>
          <w:szCs w:val="28"/>
          <w:highlight w:val="none"/>
          <w:u w:val="single"/>
        </w:rPr>
        <w:t xml:space="preserve">绍兴市非税收入结算分户 </w:t>
      </w:r>
      <w:r>
        <w:rPr>
          <w:rFonts w:hint="eastAsia" w:ascii="仿宋" w:hAnsi="仿宋" w:eastAsia="仿宋" w:cs="仿宋"/>
          <w:b/>
          <w:bCs/>
          <w:sz w:val="28"/>
          <w:szCs w:val="28"/>
          <w:highlight w:val="none"/>
          <w:u w:val="single"/>
        </w:rPr>
        <w:t>；开户行：工行绍兴市分行 ；账号：1211012029200057365 。</w:t>
      </w:r>
      <w:r>
        <w:rPr>
          <w:rFonts w:hint="eastAsia" w:ascii="仿宋" w:hAnsi="仿宋" w:eastAsia="仿宋" w:cs="仿宋"/>
          <w:b/>
          <w:bCs/>
          <w:sz w:val="28"/>
          <w:szCs w:val="28"/>
          <w:highlight w:val="none"/>
        </w:rPr>
        <w:t>合同货款按相关规定，开具浙江省非税收入统一票据，不提供增值税发票。</w:t>
      </w:r>
    </w:p>
    <w:p>
      <w:pPr>
        <w:widowControl/>
        <w:adjustRightInd w:val="0"/>
        <w:snapToGrid w:val="0"/>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（2）、买受人在2022年</w:t>
      </w:r>
      <w:r>
        <w:rPr>
          <w:rFonts w:hint="eastAsia" w:ascii="仿宋" w:hAnsi="仿宋" w:eastAsia="仿宋" w:cs="仿宋"/>
          <w:b/>
          <w:bCs/>
          <w:sz w:val="28"/>
          <w:szCs w:val="28"/>
          <w:highlight w:val="none"/>
          <w:u w:val="single"/>
        </w:rPr>
        <w:t>12</w:t>
      </w:r>
      <w:r>
        <w:rPr>
          <w:rFonts w:hint="eastAsia" w:ascii="仿宋" w:hAnsi="仿宋" w:eastAsia="仿宋" w:cs="仿宋"/>
          <w:b/>
          <w:bCs/>
          <w:sz w:val="28"/>
          <w:szCs w:val="28"/>
          <w:highlight w:val="none"/>
        </w:rPr>
        <w:t>月</w:t>
      </w:r>
      <w:r>
        <w:rPr>
          <w:rFonts w:hint="eastAsia" w:ascii="仿宋" w:hAnsi="仿宋" w:eastAsia="仿宋" w:cs="仿宋"/>
          <w:b/>
          <w:bCs/>
          <w:sz w:val="28"/>
          <w:szCs w:val="28"/>
          <w:highlight w:val="none"/>
          <w:u w:val="single"/>
        </w:rPr>
        <w:t>2</w:t>
      </w:r>
      <w:r>
        <w:rPr>
          <w:rFonts w:hint="eastAsia" w:ascii="仿宋" w:hAnsi="仿宋" w:eastAsia="仿宋" w:cs="仿宋"/>
          <w:b/>
          <w:bCs/>
          <w:sz w:val="28"/>
          <w:szCs w:val="28"/>
          <w:highlight w:val="none"/>
        </w:rPr>
        <w:t>日下午16:00前须向委托人银行账户付清</w:t>
      </w:r>
      <w:r>
        <w:rPr>
          <w:rFonts w:hint="eastAsia" w:ascii="仿宋" w:hAnsi="仿宋" w:eastAsia="仿宋" w:cs="仿宋"/>
          <w:b/>
          <w:sz w:val="28"/>
          <w:szCs w:val="28"/>
          <w:highlight w:val="none"/>
        </w:rPr>
        <w:t>合</w:t>
      </w:r>
      <w:r>
        <w:rPr>
          <w:rFonts w:hint="eastAsia" w:ascii="仿宋_GB2312" w:hAnsi="仿宋_GB2312" w:eastAsia="仿宋_GB2312" w:cs="仿宋_GB2312"/>
          <w:b/>
          <w:bCs/>
          <w:sz w:val="28"/>
          <w:szCs w:val="28"/>
          <w:highlight w:val="none"/>
        </w:rPr>
        <w:t>同履约保证金100万元，以及安全环保专项保证金100万元。</w:t>
      </w:r>
      <w:r>
        <w:rPr>
          <w:rFonts w:hint="eastAsia" w:ascii="仿宋" w:hAnsi="仿宋" w:eastAsia="仿宋" w:cs="仿宋"/>
          <w:b/>
          <w:bCs/>
          <w:sz w:val="28"/>
          <w:szCs w:val="28"/>
          <w:highlight w:val="none"/>
          <w:u w:val="single"/>
        </w:rPr>
        <w:t>保证金收款账户：</w:t>
      </w:r>
      <w:r>
        <w:rPr>
          <w:rFonts w:hint="eastAsia" w:ascii="仿宋" w:hAnsi="仿宋" w:eastAsia="仿宋" w:cs="仿宋"/>
          <w:b/>
          <w:bCs/>
          <w:kern w:val="0"/>
          <w:sz w:val="28"/>
          <w:szCs w:val="28"/>
          <w:highlight w:val="none"/>
          <w:u w:val="single"/>
        </w:rPr>
        <w:t>绍兴市原水集团有限公司</w:t>
      </w:r>
      <w:r>
        <w:rPr>
          <w:rFonts w:hint="eastAsia" w:ascii="仿宋" w:hAnsi="仿宋" w:eastAsia="仿宋" w:cs="仿宋"/>
          <w:b/>
          <w:bCs/>
          <w:sz w:val="28"/>
          <w:szCs w:val="28"/>
          <w:highlight w:val="none"/>
          <w:u w:val="single"/>
        </w:rPr>
        <w:t>，开户行：绍兴银行营业部 ，账号：2005874882000016 。</w:t>
      </w:r>
    </w:p>
    <w:p>
      <w:pPr>
        <w:widowControl/>
        <w:adjustRightInd w:val="0"/>
        <w:snapToGrid w:val="0"/>
        <w:ind w:firstLine="562" w:firstLineChars="200"/>
        <w:jc w:val="left"/>
        <w:rPr>
          <w:rFonts w:ascii="仿宋" w:hAnsi="仿宋" w:eastAsia="仿宋" w:cs="仿宋"/>
          <w:b/>
          <w:kern w:val="0"/>
          <w:sz w:val="28"/>
          <w:szCs w:val="28"/>
        </w:rPr>
      </w:pPr>
      <w:r>
        <w:rPr>
          <w:rFonts w:hint="eastAsia" w:ascii="仿宋" w:hAnsi="仿宋" w:eastAsia="仿宋" w:cs="仿宋"/>
          <w:b/>
          <w:bCs/>
          <w:kern w:val="0"/>
          <w:sz w:val="28"/>
          <w:szCs w:val="28"/>
        </w:rPr>
        <w:t>（4）、买受人支付上述拍卖应付款项时，交款人姓名须与买受人姓名一致。</w:t>
      </w:r>
    </w:p>
    <w:p>
      <w:pPr>
        <w:widowControl/>
        <w:adjustRightInd w:val="0"/>
        <w:snapToGrid w:val="0"/>
        <w:ind w:firstLine="562" w:firstLineChars="200"/>
        <w:rPr>
          <w:rFonts w:ascii="仿宋" w:hAnsi="仿宋" w:eastAsia="仿宋" w:cs="仿宋"/>
          <w:b/>
          <w:bCs/>
          <w:sz w:val="28"/>
          <w:szCs w:val="28"/>
        </w:rPr>
      </w:pPr>
      <w:r>
        <w:rPr>
          <w:rFonts w:hint="eastAsia" w:ascii="仿宋" w:hAnsi="仿宋" w:eastAsia="仿宋" w:cs="仿宋"/>
          <w:b/>
          <w:bCs/>
          <w:sz w:val="28"/>
          <w:szCs w:val="28"/>
        </w:rPr>
        <w:t>（5）、买受人在约定时间内支付拍卖成交款、合同履约保证金、安全环保专项保证金及拍卖佣金、软件服务费到账后次日，联系委托人签订《买卖合同》、《廉洁承诺》、《安全环保协议》。</w:t>
      </w:r>
    </w:p>
    <w:p>
      <w:pPr>
        <w:widowControl/>
        <w:adjustRightInd w:val="0"/>
        <w:snapToGrid w:val="0"/>
        <w:ind w:firstLine="562" w:firstLineChars="200"/>
        <w:rPr>
          <w:rFonts w:ascii="仿宋" w:hAnsi="仿宋" w:eastAsia="仿宋" w:cs="仿宋"/>
          <w:b/>
          <w:bCs/>
          <w:sz w:val="28"/>
          <w:szCs w:val="28"/>
        </w:rPr>
      </w:pPr>
      <w:r>
        <w:rPr>
          <w:rFonts w:hint="eastAsia" w:ascii="仿宋" w:hAnsi="仿宋" w:eastAsia="仿宋" w:cs="仿宋"/>
          <w:b/>
          <w:bCs/>
          <w:sz w:val="28"/>
          <w:szCs w:val="28"/>
        </w:rPr>
        <w:t>5、买受人支付上述拍卖应付款无违约且与委托人签约后，告知拍卖人。经拍卖人与委托人确认后，通知买受人办理保证金退还手续。买受人持退款凭证（拍卖人出具）到绍兴市公共资源交易中心办理退还手续（不计息），其他退款手续资料按照本竞买须知第六条第4点一并备齐。</w:t>
      </w:r>
    </w:p>
    <w:p>
      <w:pPr>
        <w:widowControl/>
        <w:adjustRightInd w:val="0"/>
        <w:snapToGrid w:val="0"/>
        <w:ind w:firstLine="560" w:firstLineChars="200"/>
        <w:rPr>
          <w:rFonts w:ascii="仿宋" w:hAnsi="仿宋" w:eastAsia="仿宋" w:cs="仿宋"/>
          <w:b/>
          <w:bCs/>
          <w:kern w:val="0"/>
          <w:sz w:val="28"/>
          <w:szCs w:val="28"/>
        </w:rPr>
      </w:pPr>
      <w:r>
        <w:rPr>
          <w:rFonts w:hint="eastAsia" w:ascii="仿宋" w:hAnsi="仿宋" w:eastAsia="仿宋" w:cs="仿宋"/>
          <w:kern w:val="0"/>
          <w:sz w:val="28"/>
          <w:szCs w:val="28"/>
        </w:rPr>
        <w:t>★</w:t>
      </w:r>
      <w:r>
        <w:rPr>
          <w:rFonts w:hint="eastAsia" w:ascii="仿宋" w:hAnsi="仿宋" w:eastAsia="仿宋" w:cs="仿宋"/>
          <w:b/>
          <w:bCs/>
          <w:sz w:val="28"/>
          <w:szCs w:val="28"/>
        </w:rPr>
        <w:t>十四、如买受人成交后不按约定签署成交确认书、买卖合同等文件；逾期或未足额支付拍卖应付款等不按本拍卖公告、竞买须知及其</w:t>
      </w:r>
      <w:r>
        <w:rPr>
          <w:rFonts w:hint="eastAsia" w:ascii="仿宋" w:hAnsi="仿宋" w:eastAsia="仿宋" w:cs="仿宋"/>
          <w:b/>
          <w:bCs/>
          <w:kern w:val="0"/>
          <w:sz w:val="28"/>
          <w:szCs w:val="28"/>
        </w:rPr>
        <w:t>附件的要求履行其全部义务，则应当按照《民法典》第577条规定承担违约责任，逾期付款的，欠付款项在逾期期间应按同期一年期LPR的4倍向委托人支付滞纳金；买受人逾期付款超过5天或买受人其他违约行为致使本次拍卖目的难以实现或悔拍的，委托人及拍卖人有权解除拍卖成交关系，买受人则无权要求返还已交的参拍保证金；按《拍卖法》规定由拍卖人征得委托人的同意，将拍卖标的再行拍卖。拍卖标的再行拍卖的，原买受人应当支付第一次拍卖中本人及委托人应当支付的佣金以及其他委托人、拍卖人各项费用损失,再行拍卖的价款低于原拍卖价款的，原买受人应当补足差额。标的须再行拍卖的，原买受人不得参与。</w:t>
      </w:r>
    </w:p>
    <w:p>
      <w:pPr>
        <w:widowControl/>
        <w:adjustRightInd w:val="0"/>
        <w:snapToGrid w:val="0"/>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十五、买受人对所竞得拍卖标的的使用，须严格按照法律、行政法规及当地政府或相关部门的规定执行。</w:t>
      </w:r>
    </w:p>
    <w:p>
      <w:pPr>
        <w:widowControl/>
        <w:adjustRightInd w:val="0"/>
        <w:snapToGrid w:val="0"/>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十六、本次拍卖标的网拍成交价款付清后，拍卖人向买受人递交拍卖成交确认书及向委托人提交拍卖成交结果报告和确认买受人付清拍卖款后，拍卖人本次拍卖程序履行完毕。后续交付或其他事宜由买卖双方按约定处理，必要时，拍卖人可以给予一定协助，但并非属于拍卖人法定义务。因拍卖成交及财产的交付、财产权利取得期间，委托人与买受人之间已形成合同关系，双方此合同中相对应的权利与义务，及今后合同的履行、变更，甚至其后合同的解除、撤销等，均由委托人、买受人双方之间解决或结算，与拍卖人无涉。</w:t>
      </w:r>
    </w:p>
    <w:p>
      <w:pPr>
        <w:widowControl/>
        <w:adjustRightInd w:val="0"/>
        <w:snapToGrid w:val="0"/>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十七、本竞买须知的内容请竞买人务必认真阅读，有任何疑义请向拍卖人咨询，竞买人一旦参与报名即被认为知悉并愿意遵守和履行拍卖文件须知的各项条款与内容，且对其条款内容与拍卖人理解解释相一致。</w:t>
      </w:r>
    </w:p>
    <w:p>
      <w:pPr>
        <w:widowControl/>
        <w:adjustRightInd w:val="0"/>
        <w:snapToGrid w:val="0"/>
        <w:ind w:firstLine="560" w:firstLineChars="200"/>
        <w:jc w:val="left"/>
        <w:rPr>
          <w:rFonts w:ascii="仿宋" w:hAnsi="仿宋" w:eastAsia="仿宋" w:cs="仿宋"/>
          <w:b/>
          <w:bCs/>
          <w:kern w:val="0"/>
          <w:sz w:val="28"/>
          <w:szCs w:val="28"/>
        </w:rPr>
      </w:pPr>
      <w:r>
        <w:rPr>
          <w:rFonts w:hint="eastAsia" w:ascii="仿宋" w:hAnsi="仿宋" w:eastAsia="仿宋" w:cs="仿宋"/>
          <w:kern w:val="0"/>
          <w:sz w:val="28"/>
          <w:szCs w:val="28"/>
        </w:rPr>
        <w:t>★</w:t>
      </w:r>
      <w:r>
        <w:rPr>
          <w:rFonts w:hint="eastAsia" w:ascii="仿宋" w:hAnsi="仿宋" w:eastAsia="仿宋" w:cs="仿宋"/>
          <w:b/>
          <w:bCs/>
          <w:kern w:val="0"/>
          <w:sz w:val="28"/>
          <w:szCs w:val="28"/>
        </w:rPr>
        <w:t>十八、特别说明：</w:t>
      </w:r>
    </w:p>
    <w:p>
      <w:pPr>
        <w:widowControl/>
        <w:numPr>
          <w:ilvl w:val="0"/>
          <w:numId w:val="2"/>
        </w:numPr>
        <w:adjustRightInd w:val="0"/>
        <w:snapToGrid w:val="0"/>
        <w:ind w:firstLine="562" w:firstLineChars="200"/>
        <w:jc w:val="left"/>
        <w:rPr>
          <w:rFonts w:ascii="仿宋" w:hAnsi="仿宋" w:eastAsia="仿宋" w:cs="仿宋"/>
          <w:b/>
          <w:sz w:val="28"/>
          <w:szCs w:val="28"/>
        </w:rPr>
      </w:pPr>
      <w:r>
        <w:rPr>
          <w:rFonts w:hint="eastAsia" w:ascii="仿宋" w:hAnsi="仿宋" w:eastAsia="仿宋" w:cs="仿宋"/>
          <w:b/>
          <w:sz w:val="28"/>
          <w:szCs w:val="28"/>
        </w:rPr>
        <w:t>本次拍卖标的因汤浦水库清淤扩容工程形成，根据</w:t>
      </w:r>
      <w:r>
        <w:rPr>
          <w:rFonts w:hint="eastAsia" w:ascii="仿宋" w:hAnsi="仿宋" w:eastAsia="仿宋" w:cs="仿宋"/>
          <w:b/>
          <w:bCs/>
          <w:kern w:val="0"/>
          <w:sz w:val="28"/>
          <w:szCs w:val="28"/>
        </w:rPr>
        <w:t>《绍兴市汤浦水库清淤扩容工程清淤副产品所对应的出让价格评估咨询报告书》</w:t>
      </w:r>
      <w:r>
        <w:rPr>
          <w:rFonts w:hint="eastAsia" w:ascii="仿宋" w:hAnsi="仿宋" w:eastAsia="仿宋" w:cs="仿宋"/>
          <w:b/>
          <w:sz w:val="28"/>
          <w:szCs w:val="28"/>
        </w:rPr>
        <w:t>中描述：“根据评估人员现场观察，砂石料的成分为砾石、卵石、风化砂岩以及泥砂，因目前未能获取关于砂石料成分构成和占比的相关资料，故本次评估对工程区内矿体的比例只能通过评估组现场观察予以判断。经评估组现场踏勘，西岙口临时堆料区内主要是砾石、卵石、风化砂岩以及泥砂的混合物，区内砾石含量占比约60.00～80.00%，平均砾石含量约占70%；砂含量占比约20.00～40.00%，平均含砂率约占30%，其中砂含泥率约15.00～25.00%；经询问委托方，未来对现有石料将不再进行筛分和破碎加工，产品均以现状进行处置；通过对现场勘查、工程现状、岩性状态和市场销售环境的综合分析，评估组认为本次评估产品方案设砂石统料（砾石和泥砂的混合料）较为合适。</w:t>
      </w:r>
      <w:r>
        <w:rPr>
          <w:rFonts w:ascii="仿宋" w:hAnsi="仿宋" w:eastAsia="仿宋" w:cs="仿宋"/>
          <w:b/>
          <w:sz w:val="28"/>
          <w:szCs w:val="28"/>
        </w:rPr>
        <w:t>”</w:t>
      </w:r>
      <w:r>
        <w:rPr>
          <w:rFonts w:hint="eastAsia" w:ascii="仿宋" w:hAnsi="仿宋" w:eastAsia="仿宋" w:cs="仿宋"/>
          <w:b/>
          <w:sz w:val="28"/>
          <w:szCs w:val="28"/>
        </w:rPr>
        <w:t>本次评估以现场观察目测判断砂石统料成分、比例，报告中的砂石统料成分、比例并非准确，评估报告仅供参考使用，其内容不作为交付依据。</w:t>
      </w:r>
    </w:p>
    <w:p>
      <w:pPr>
        <w:widowControl/>
        <w:adjustRightInd w:val="0"/>
        <w:snapToGrid w:val="0"/>
        <w:ind w:firstLine="562" w:firstLineChars="200"/>
        <w:jc w:val="left"/>
        <w:rPr>
          <w:rFonts w:ascii="仿宋" w:hAnsi="仿宋" w:eastAsia="仿宋" w:cs="仿宋"/>
          <w:b/>
          <w:bCs/>
          <w:kern w:val="0"/>
          <w:sz w:val="28"/>
          <w:szCs w:val="28"/>
        </w:rPr>
      </w:pPr>
      <w:r>
        <w:rPr>
          <w:rFonts w:hint="eastAsia" w:ascii="仿宋" w:hAnsi="仿宋" w:eastAsia="仿宋" w:cs="仿宋"/>
          <w:b/>
          <w:sz w:val="28"/>
          <w:szCs w:val="28"/>
        </w:rPr>
        <w:t>2、因本次拍卖是依法经公告程序，拍卖中提供的标的信息资料仅供核对现场参考使用。</w:t>
      </w:r>
      <w:r>
        <w:rPr>
          <w:rFonts w:hint="eastAsia" w:ascii="仿宋" w:hAnsi="仿宋" w:eastAsia="仿宋" w:cs="仿宋"/>
          <w:b/>
          <w:bCs/>
          <w:kern w:val="0"/>
          <w:sz w:val="28"/>
          <w:szCs w:val="28"/>
        </w:rPr>
        <w:t>本次拍卖标的，</w:t>
      </w:r>
      <w:r>
        <w:rPr>
          <w:rFonts w:hint="eastAsia" w:ascii="仿宋_GB2312" w:hAnsi="仿宋_GB2312" w:eastAsia="仿宋_GB2312" w:cs="仿宋_GB2312"/>
          <w:b/>
          <w:bCs/>
          <w:kern w:val="0"/>
          <w:sz w:val="28"/>
          <w:szCs w:val="28"/>
        </w:rPr>
        <w:t>形态特征、品质状况、缺陷情况、松散系数、抗压强度、含水率、成分类型、成分比例、地质情况、含泥废料等不可利用的夹杂物含量占比、实际可利用率等均以移交时的实物现状为准，</w:t>
      </w:r>
      <w:r>
        <w:rPr>
          <w:rFonts w:hint="eastAsia" w:ascii="仿宋" w:hAnsi="仿宋" w:eastAsia="仿宋" w:cs="仿宋"/>
          <w:b/>
          <w:sz w:val="28"/>
          <w:szCs w:val="28"/>
        </w:rPr>
        <w:t>为带瑕疵的拍卖。在实际取得过程中如发现与竞买人（即其后买受人）的心理预期或看样过程中有差异的，均以实际取得现状为准，不影响拍卖成交价格。委托人及拍卖人对此不作保证，买受人应无条件的接收，由买受人自行承担全部风险及责任。</w:t>
      </w:r>
    </w:p>
    <w:p>
      <w:pPr>
        <w:widowControl/>
        <w:adjustRightInd w:val="0"/>
        <w:snapToGrid w:val="0"/>
        <w:ind w:firstLine="562" w:firstLineChars="200"/>
        <w:jc w:val="left"/>
        <w:rPr>
          <w:rFonts w:ascii="仿宋" w:hAnsi="仿宋" w:eastAsia="仿宋" w:cs="仿宋"/>
          <w:b/>
          <w:sz w:val="28"/>
          <w:szCs w:val="28"/>
        </w:rPr>
      </w:pPr>
      <w:r>
        <w:rPr>
          <w:rFonts w:hint="eastAsia" w:ascii="仿宋" w:hAnsi="仿宋" w:eastAsia="仿宋" w:cs="仿宋"/>
          <w:b/>
          <w:bCs/>
          <w:kern w:val="0"/>
          <w:sz w:val="28"/>
          <w:szCs w:val="28"/>
        </w:rPr>
        <w:t>3、</w:t>
      </w:r>
      <w:r>
        <w:rPr>
          <w:rFonts w:hint="eastAsia" w:ascii="仿宋" w:hAnsi="仿宋" w:eastAsia="仿宋" w:cs="仿宋"/>
          <w:b/>
          <w:sz w:val="28"/>
          <w:szCs w:val="28"/>
        </w:rPr>
        <w:t>本次拍卖起拍价或成交价为标的净价，不包括买受人成交后取得标的物期间，产生的机械作业、人员、车辆、提取、装运、清理、税费、佣金等其他所有支付费用。</w:t>
      </w:r>
    </w:p>
    <w:p>
      <w:pPr>
        <w:widowControl/>
        <w:adjustRightInd w:val="0"/>
        <w:snapToGrid w:val="0"/>
        <w:ind w:firstLine="562" w:firstLineChars="200"/>
        <w:jc w:val="left"/>
        <w:rPr>
          <w:rFonts w:ascii="仿宋" w:hAnsi="仿宋" w:eastAsia="仿宋" w:cs="仿宋"/>
          <w:b/>
          <w:sz w:val="28"/>
          <w:szCs w:val="28"/>
        </w:rPr>
      </w:pPr>
      <w:r>
        <w:rPr>
          <w:rFonts w:hint="eastAsia" w:ascii="仿宋" w:hAnsi="仿宋" w:eastAsia="仿宋" w:cs="仿宋"/>
          <w:b/>
          <w:sz w:val="28"/>
          <w:szCs w:val="28"/>
        </w:rPr>
        <w:t>4、买受人须在本竞买须知规定期限内付清拍卖成交款，同时支付合</w:t>
      </w:r>
      <w:r>
        <w:rPr>
          <w:rFonts w:hint="eastAsia" w:ascii="仿宋" w:hAnsi="仿宋" w:eastAsia="仿宋" w:cs="仿宋"/>
          <w:b/>
          <w:bCs/>
          <w:sz w:val="28"/>
          <w:szCs w:val="28"/>
        </w:rPr>
        <w:t>同履约保证金</w:t>
      </w:r>
      <w:r>
        <w:rPr>
          <w:rFonts w:hint="eastAsia" w:ascii="仿宋_GB2312" w:hAnsi="仿宋_GB2312" w:eastAsia="仿宋_GB2312" w:cs="仿宋_GB2312"/>
          <w:b/>
          <w:bCs/>
          <w:sz w:val="28"/>
          <w:szCs w:val="28"/>
          <w:u w:val="single"/>
        </w:rPr>
        <w:t>100</w:t>
      </w:r>
      <w:r>
        <w:rPr>
          <w:rFonts w:hint="eastAsia" w:ascii="仿宋_GB2312" w:hAnsi="仿宋_GB2312" w:eastAsia="仿宋_GB2312" w:cs="仿宋_GB2312"/>
          <w:b/>
          <w:bCs/>
          <w:sz w:val="28"/>
          <w:szCs w:val="28"/>
        </w:rPr>
        <w:t>万元，</w:t>
      </w:r>
      <w:r>
        <w:rPr>
          <w:rFonts w:hint="eastAsia" w:ascii="仿宋" w:hAnsi="仿宋" w:eastAsia="仿宋" w:cs="仿宋"/>
          <w:b/>
          <w:bCs/>
          <w:sz w:val="28"/>
          <w:szCs w:val="28"/>
        </w:rPr>
        <w:t>以及</w:t>
      </w:r>
      <w:r>
        <w:rPr>
          <w:rFonts w:hint="eastAsia" w:ascii="仿宋_GB2312" w:hAnsi="仿宋_GB2312" w:eastAsia="仿宋_GB2312" w:cs="仿宋_GB2312"/>
          <w:b/>
          <w:bCs/>
          <w:sz w:val="28"/>
          <w:szCs w:val="28"/>
        </w:rPr>
        <w:t>安全环保专项保证金</w:t>
      </w:r>
      <w:r>
        <w:rPr>
          <w:rFonts w:hint="eastAsia" w:ascii="仿宋" w:hAnsi="仿宋" w:eastAsia="仿宋" w:cs="仿宋"/>
          <w:b/>
          <w:bCs/>
          <w:sz w:val="28"/>
          <w:szCs w:val="28"/>
          <w:u w:val="single"/>
        </w:rPr>
        <w:t>100</w:t>
      </w:r>
      <w:r>
        <w:rPr>
          <w:rFonts w:hint="eastAsia" w:ascii="仿宋" w:hAnsi="仿宋" w:eastAsia="仿宋" w:cs="仿宋"/>
          <w:b/>
          <w:bCs/>
          <w:sz w:val="28"/>
          <w:szCs w:val="28"/>
        </w:rPr>
        <w:t>万元</w:t>
      </w:r>
      <w:r>
        <w:rPr>
          <w:rFonts w:hint="eastAsia" w:ascii="仿宋" w:hAnsi="仿宋" w:eastAsia="仿宋" w:cs="仿宋"/>
          <w:b/>
          <w:sz w:val="28"/>
          <w:szCs w:val="28"/>
        </w:rPr>
        <w:t>。其余拍卖佣金、中拍平台软件服务费在约定时间内付清。</w:t>
      </w:r>
    </w:p>
    <w:p>
      <w:pPr>
        <w:widowControl/>
        <w:adjustRightInd w:val="0"/>
        <w:snapToGrid w:val="0"/>
        <w:ind w:firstLine="562" w:firstLineChars="200"/>
        <w:jc w:val="left"/>
        <w:rPr>
          <w:rFonts w:eastAsia="仿宋"/>
        </w:rPr>
      </w:pPr>
      <w:r>
        <w:rPr>
          <w:rFonts w:hint="eastAsia" w:ascii="仿宋" w:hAnsi="仿宋" w:eastAsia="仿宋" w:cs="仿宋"/>
          <w:b/>
          <w:sz w:val="28"/>
          <w:szCs w:val="28"/>
        </w:rPr>
        <w:t>5、拍卖成交款（</w:t>
      </w:r>
      <w:r>
        <w:rPr>
          <w:rFonts w:hint="eastAsia" w:ascii="仿宋" w:hAnsi="仿宋" w:eastAsia="仿宋" w:cs="仿宋"/>
          <w:b/>
          <w:bCs/>
          <w:sz w:val="28"/>
          <w:szCs w:val="28"/>
        </w:rPr>
        <w:t>合同货款）按相关规定，开具浙江省非税收入统一票据，不提供增值税发票。拍卖佣金，由拍卖人开具</w:t>
      </w:r>
      <w:r>
        <w:rPr>
          <w:rFonts w:hint="eastAsia" w:ascii="仿宋" w:hAnsi="仿宋" w:eastAsia="仿宋" w:cs="仿宋"/>
          <w:b/>
          <w:bCs/>
          <w:kern w:val="0"/>
          <w:sz w:val="28"/>
          <w:szCs w:val="28"/>
        </w:rPr>
        <w:t>增值税普通发票</w:t>
      </w:r>
      <w:r>
        <w:rPr>
          <w:rFonts w:hint="eastAsia" w:ascii="仿宋" w:hAnsi="仿宋" w:eastAsia="仿宋" w:cs="仿宋"/>
          <w:b/>
          <w:bCs/>
          <w:sz w:val="28"/>
          <w:szCs w:val="28"/>
        </w:rPr>
        <w:t>。软件服务费，由中拍平台开具增值税</w:t>
      </w:r>
      <w:r>
        <w:rPr>
          <w:rFonts w:hint="eastAsia" w:ascii="仿宋" w:hAnsi="仿宋" w:eastAsia="仿宋" w:cs="仿宋"/>
          <w:b/>
          <w:bCs/>
          <w:kern w:val="0"/>
          <w:sz w:val="28"/>
          <w:szCs w:val="28"/>
        </w:rPr>
        <w:t>发票。</w:t>
      </w:r>
    </w:p>
    <w:p>
      <w:pPr>
        <w:adjustRightInd w:val="0"/>
        <w:snapToGrid w:val="0"/>
        <w:ind w:firstLine="562" w:firstLineChars="200"/>
        <w:rPr>
          <w:rFonts w:ascii="仿宋_GB2312" w:hAnsi="仿宋_GB2312" w:eastAsia="仿宋_GB2312" w:cs="仿宋_GB2312"/>
          <w:b/>
          <w:bCs/>
          <w:kern w:val="0"/>
          <w:sz w:val="28"/>
          <w:szCs w:val="28"/>
        </w:rPr>
      </w:pPr>
      <w:r>
        <w:rPr>
          <w:rFonts w:hint="eastAsia" w:ascii="仿宋" w:hAnsi="仿宋" w:eastAsia="仿宋" w:cs="仿宋"/>
          <w:b/>
          <w:sz w:val="28"/>
          <w:szCs w:val="28"/>
        </w:rPr>
        <w:t>6、买受人</w:t>
      </w:r>
      <w:r>
        <w:rPr>
          <w:rFonts w:hint="eastAsia" w:ascii="仿宋_GB2312" w:hAnsi="仿宋_GB2312" w:eastAsia="仿宋_GB2312" w:cs="仿宋_GB2312"/>
          <w:b/>
          <w:bCs/>
          <w:sz w:val="28"/>
          <w:szCs w:val="28"/>
        </w:rPr>
        <w:t>在付清所有拍卖应付款项（含逾期缴款滞纳金）并签订合同后，方可具备提货条件。合同签订之日起第5个日历天开始计算，买受人作业及装运时间。买受人进度应满足委托人的要求，提货期限为130个日历天。</w:t>
      </w:r>
    </w:p>
    <w:p>
      <w:pPr>
        <w:adjustRightInd w:val="0"/>
        <w:snapToGrid w:val="0"/>
        <w:ind w:firstLine="562" w:firstLineChars="20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以上，具体内容详见《买卖合同》（样稿）、《补充合同》（样稿）、《廉洁承诺》、《安全环保协议》（样稿）等拍卖附件相关约定。</w:t>
      </w:r>
    </w:p>
    <w:p>
      <w:pPr>
        <w:adjustRightInd w:val="0"/>
        <w:snapToGrid w:val="0"/>
        <w:ind w:firstLine="562" w:firstLineChars="200"/>
        <w:rPr>
          <w:rFonts w:ascii="仿宋" w:hAnsi="仿宋" w:eastAsia="仿宋" w:cs="仿宋"/>
          <w:b/>
          <w:sz w:val="28"/>
          <w:szCs w:val="28"/>
        </w:rPr>
      </w:pPr>
      <w:r>
        <w:rPr>
          <w:rFonts w:hint="eastAsia" w:ascii="仿宋" w:hAnsi="仿宋" w:eastAsia="仿宋" w:cs="仿宋"/>
          <w:b/>
          <w:sz w:val="28"/>
          <w:szCs w:val="28"/>
        </w:rPr>
        <w:t>7、委托人在委托拍卖时提供了拍卖附件：《买卖合同》（样稿）、《补充合同》（样稿）、《廉洁承诺》、《安全环保协议》（样稿）、《西岙口堆料场砂石统料首测方量测量（按清表后计算）》、《西岙口堆料场砂石统料首测方量测量(按平场标高30米计算)》供竞买人在参拍前，查阅明确拍卖成交后，买受人相应的权利义务，并作为本次拍卖文本重要内容告知及补充规定,竞买人应在参拍前仔细查阅合同、承诺、协议、首测方量测量之相关内容。竞买人参与报名后即视为认同及接受上述合同、承诺、协议、首测方量测量之全部条款和内容。今后在签约时，买受人不得再对上述合同、承诺、协议、首测方量测量中条款和内容等提出异议或拒绝签署，否则按买受人违约或悔拍处理。</w:t>
      </w:r>
    </w:p>
    <w:p>
      <w:pPr>
        <w:adjustRightInd w:val="0"/>
        <w:snapToGrid w:val="0"/>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8、本次拍卖是经法定公告期和展示期后才举行的，就拍卖标的物已知及可能存在的瑕疵或风险已在本次拍卖资料中作了基本的介绍和说明，但拍卖物仍有可能存在其他潜在的或隐含的瑕疵风险。由于标的自始并非拍卖人掌控，拍卖人所提供的拍卖标的的相关资料介绍，主要来源于委托人提供的信息材料，同时拍卖人可能对拍卖标的历史情况、实际现状、未来风险提出了一些预测性、假设性、直观性的参考性意见说明文字及材料，并不能保证准确的以文字、材料描述标的物已知瑕疵状况，或准确预见隐含在标的内部潜在的瑕疵问题，无法完整揭示标的物隐含的投资风险，拍卖人对拍卖标的物所作的说明和提供的资料、视频、图片等，仅供竞买人参考，不构成对标的物的任何担保。所以务必请竞买人在拍卖前必须仔细审查拍卖标的物，调查是否存在各种瑕疵，认真研究查看所竞拍标的物的实际现状，并请亲临展示现场，实地看样，</w:t>
      </w:r>
      <w:r>
        <w:rPr>
          <w:rFonts w:hint="eastAsia" w:ascii="仿宋" w:hAnsi="仿宋" w:eastAsia="仿宋" w:cs="仿宋"/>
          <w:b/>
          <w:bCs/>
          <w:kern w:val="0"/>
          <w:sz w:val="28"/>
          <w:szCs w:val="28"/>
        </w:rPr>
        <w:t>未看样的竞买人视为对本标的移交时实物现状的确认</w:t>
      </w:r>
      <w:r>
        <w:rPr>
          <w:rFonts w:hint="eastAsia" w:ascii="仿宋" w:hAnsi="仿宋" w:eastAsia="仿宋" w:cs="仿宋"/>
          <w:b/>
          <w:bCs/>
          <w:sz w:val="28"/>
          <w:szCs w:val="28"/>
        </w:rPr>
        <w:t>，慎重决定竞买行为，竞买人一旦作出竞买决定，即表明已完全了解，并接受标的物以实物现状移交和一切已知及未知的瑕疵。委托人及拍卖人按照《拍卖法》第六十一条声明不保证拍卖标的真伪或者品质、数量等，且不承担本标的任何瑕疵担保责任（包括已知或隐含的瑕疵）。</w:t>
      </w:r>
    </w:p>
    <w:p>
      <w:pPr>
        <w:adjustRightInd w:val="0"/>
        <w:snapToGrid w:val="0"/>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拍卖成交之前，因故中止或终止拍卖的，竞买人不得向拍卖人提出任何赔偿要求。</w:t>
      </w:r>
    </w:p>
    <w:p>
      <w:pPr>
        <w:widowControl/>
        <w:adjustRightInd w:val="0"/>
        <w:snapToGrid w:val="0"/>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十九、其他事项：</w:t>
      </w:r>
    </w:p>
    <w:p>
      <w:pPr>
        <w:widowControl/>
        <w:adjustRightInd w:val="0"/>
        <w:snapToGrid w:val="0"/>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1、本次拍卖的所有时限均以北京时间为标准；</w:t>
      </w:r>
    </w:p>
    <w:p>
      <w:pPr>
        <w:widowControl/>
        <w:adjustRightInd w:val="0"/>
        <w:snapToGrid w:val="0"/>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2、本次拍卖计价货币为人民币，拍卖时的起拍价、成交价均不包含标的权利登记或变更、标的物交付等所发生的相关税、费及拍卖佣金、软件服务费。拍卖公告、竞买须知及附件合同、协议等内容中的时间、期限，未明确为“工作日”的，均系“日历天”。</w:t>
      </w:r>
    </w:p>
    <w:p>
      <w:pPr>
        <w:widowControl/>
        <w:adjustRightInd w:val="0"/>
        <w:snapToGrid w:val="0"/>
        <w:ind w:firstLine="560" w:firstLineChars="200"/>
        <w:jc w:val="left"/>
        <w:rPr>
          <w:rFonts w:ascii="仿宋" w:hAnsi="仿宋" w:eastAsia="仿宋" w:cs="仿宋"/>
          <w:b/>
          <w:bCs/>
          <w:kern w:val="0"/>
          <w:sz w:val="28"/>
          <w:szCs w:val="28"/>
        </w:rPr>
      </w:pPr>
      <w:r>
        <w:rPr>
          <w:rFonts w:hint="eastAsia" w:ascii="仿宋" w:hAnsi="仿宋" w:eastAsia="仿宋" w:cs="仿宋"/>
          <w:kern w:val="0"/>
          <w:sz w:val="28"/>
          <w:szCs w:val="28"/>
        </w:rPr>
        <w:t>3、</w:t>
      </w:r>
      <w:r>
        <w:rPr>
          <w:rFonts w:hint="eastAsia" w:ascii="仿宋" w:hAnsi="仿宋" w:eastAsia="仿宋" w:cs="仿宋"/>
          <w:b/>
          <w:bCs/>
          <w:color w:val="000000"/>
          <w:sz w:val="28"/>
          <w:szCs w:val="28"/>
          <w:shd w:val="clear" w:color="auto" w:fill="FFFFFF"/>
        </w:rPr>
        <w:t>拍卖人催告买受人支付拍卖应付款或其他通知事项，及委托人通知买受人签约，上述通知方式根据买受人在网络拍卖报名时向中拍平台实名注册时提供的手机号、身份地址，与预留的手机号码绑定的微信号，拍卖人、委托人可直接向其发出短信或微信留言或邮寄书面通知，或也可选择在《绍兴日报》上登报告知。拍卖人、委托人选择以上其中一种通知方式，即视为有效通知送达。其中向买受人身份地址（注：已备注地址的按照备注地址邮寄，未备注地址的按照实名注册时上传系统后的有效证件地址邮寄）邮寄通知的，因拒收或其他原因无法送达而退回的，以邮局第一个邮戳所记载的日期视为送达日期。</w:t>
      </w:r>
    </w:p>
    <w:p>
      <w:pPr>
        <w:widowControl/>
        <w:adjustRightInd w:val="0"/>
        <w:snapToGrid w:val="0"/>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二十、</w:t>
      </w:r>
      <w:r>
        <w:rPr>
          <w:rFonts w:hint="eastAsia" w:ascii="仿宋" w:hAnsi="仿宋" w:eastAsia="仿宋" w:cs="仿宋"/>
          <w:kern w:val="0"/>
          <w:sz w:val="28"/>
          <w:szCs w:val="28"/>
        </w:rPr>
        <w:t>中拍实名注册问题可咨询：400-898-5988。具体报名、参拍保证金缴纳流程，可咨询拍卖人，联系电话：18957576235。</w:t>
      </w:r>
    </w:p>
    <w:p>
      <w:pPr>
        <w:widowControl/>
        <w:adjustRightInd w:val="0"/>
        <w:snapToGrid w:val="0"/>
        <w:ind w:firstLine="560" w:firstLineChars="200"/>
        <w:jc w:val="right"/>
        <w:rPr>
          <w:rFonts w:ascii="仿宋" w:hAnsi="仿宋" w:eastAsia="仿宋" w:cs="仿宋"/>
          <w:kern w:val="0"/>
          <w:sz w:val="28"/>
          <w:szCs w:val="28"/>
        </w:rPr>
      </w:pPr>
    </w:p>
    <w:p>
      <w:pPr>
        <w:widowControl/>
        <w:adjustRightInd w:val="0"/>
        <w:snapToGrid w:val="0"/>
        <w:ind w:firstLine="560" w:firstLineChars="200"/>
        <w:jc w:val="right"/>
        <w:rPr>
          <w:rFonts w:ascii="仿宋" w:hAnsi="仿宋" w:eastAsia="仿宋" w:cs="仿宋"/>
          <w:kern w:val="0"/>
          <w:sz w:val="28"/>
          <w:szCs w:val="28"/>
        </w:rPr>
      </w:pPr>
      <w:r>
        <w:rPr>
          <w:rFonts w:hint="eastAsia" w:ascii="仿宋" w:hAnsi="仿宋" w:eastAsia="仿宋" w:cs="仿宋"/>
          <w:kern w:val="0"/>
          <w:sz w:val="28"/>
          <w:szCs w:val="28"/>
        </w:rPr>
        <w:t>浙江天恒拍卖有限公司诸暨分公司</w:t>
      </w:r>
    </w:p>
    <w:p>
      <w:pPr>
        <w:widowControl/>
        <w:adjustRightInd w:val="0"/>
        <w:snapToGrid w:val="0"/>
        <w:ind w:firstLine="560" w:firstLineChars="200"/>
        <w:jc w:val="right"/>
      </w:pPr>
      <w:r>
        <w:rPr>
          <w:rFonts w:hint="eastAsia" w:ascii="仿宋" w:hAnsi="仿宋" w:eastAsia="仿宋" w:cs="仿宋"/>
          <w:kern w:val="0"/>
          <w:sz w:val="28"/>
          <w:szCs w:val="28"/>
        </w:rPr>
        <w:t>2022年11月9日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0.35pt;width:4.5pt;mso-position-horizontal:center;mso-position-horizontal-relative:margin;mso-wrap-style:none;z-index:251659264;mso-width-relative:page;mso-height-relative:page;" filled="f" stroked="f" coordsize="21600,21600" o:gfxdata="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qnjDbQAAAAAgEAAA8AAAAAAAAAAQAgAAAAIgAAAGRy&#10;cy9kb3ducmV2LnhtbFBLAQIUABQAAAAIAIdO4kD9qcjQ1AEAAJ8DAAAOAAAAAAAAAAEAIAAAAB8B&#10;AABkcnMvZTJvRG9jLnhtbFBLBQYAAAAABgAGAFkBAABlBQAAAAA=&#10;">
          <v:path/>
          <v:fill on="f" focussize="0,0"/>
          <v:stroke on="f" weight="0.5pt"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C05385"/>
    <w:multiLevelType w:val="singleLevel"/>
    <w:tmpl w:val="97C05385"/>
    <w:lvl w:ilvl="0" w:tentative="0">
      <w:start w:val="1"/>
      <w:numFmt w:val="decimal"/>
      <w:suff w:val="nothing"/>
      <w:lvlText w:val="%1、"/>
      <w:lvlJc w:val="left"/>
    </w:lvl>
  </w:abstractNum>
  <w:abstractNum w:abstractNumId="1">
    <w:nsid w:val="766E559A"/>
    <w:multiLevelType w:val="singleLevel"/>
    <w:tmpl w:val="766E559A"/>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U2ODg0MjAyMjlmNjhlYzFmNjM4YTcwODZlODIzZjgifQ=="/>
  </w:docVars>
  <w:rsids>
    <w:rsidRoot w:val="004C4E85"/>
    <w:rsid w:val="000A1869"/>
    <w:rsid w:val="000B0383"/>
    <w:rsid w:val="000C722B"/>
    <w:rsid w:val="00187DCF"/>
    <w:rsid w:val="001E3182"/>
    <w:rsid w:val="00291CB6"/>
    <w:rsid w:val="003D5936"/>
    <w:rsid w:val="003F7BCA"/>
    <w:rsid w:val="00460CE5"/>
    <w:rsid w:val="00491BC2"/>
    <w:rsid w:val="004C4E85"/>
    <w:rsid w:val="00557C99"/>
    <w:rsid w:val="005D60CE"/>
    <w:rsid w:val="00605BAF"/>
    <w:rsid w:val="006C3EBE"/>
    <w:rsid w:val="006D336C"/>
    <w:rsid w:val="006F67FE"/>
    <w:rsid w:val="00716E38"/>
    <w:rsid w:val="0079297E"/>
    <w:rsid w:val="007A148B"/>
    <w:rsid w:val="007A4DE2"/>
    <w:rsid w:val="007B77F1"/>
    <w:rsid w:val="007F587D"/>
    <w:rsid w:val="00857A00"/>
    <w:rsid w:val="008764AE"/>
    <w:rsid w:val="009256C1"/>
    <w:rsid w:val="0099443D"/>
    <w:rsid w:val="00A522FD"/>
    <w:rsid w:val="00AA3F63"/>
    <w:rsid w:val="00AF6313"/>
    <w:rsid w:val="00B34381"/>
    <w:rsid w:val="00B64BB1"/>
    <w:rsid w:val="00C734D0"/>
    <w:rsid w:val="00CA3548"/>
    <w:rsid w:val="00D743B5"/>
    <w:rsid w:val="00DA7D8A"/>
    <w:rsid w:val="00EB7711"/>
    <w:rsid w:val="00ED1A85"/>
    <w:rsid w:val="00F6267E"/>
    <w:rsid w:val="00FF2A5E"/>
    <w:rsid w:val="01027CC8"/>
    <w:rsid w:val="011C626C"/>
    <w:rsid w:val="0133706F"/>
    <w:rsid w:val="01AA6723"/>
    <w:rsid w:val="01BB4CF6"/>
    <w:rsid w:val="01D32DCE"/>
    <w:rsid w:val="01D37CAB"/>
    <w:rsid w:val="01D76FF5"/>
    <w:rsid w:val="01FD5BC4"/>
    <w:rsid w:val="01FE0D50"/>
    <w:rsid w:val="0204702E"/>
    <w:rsid w:val="02277DB7"/>
    <w:rsid w:val="025F4662"/>
    <w:rsid w:val="027C4156"/>
    <w:rsid w:val="029C3B08"/>
    <w:rsid w:val="02C575CD"/>
    <w:rsid w:val="02CE3596"/>
    <w:rsid w:val="02D91568"/>
    <w:rsid w:val="02EA6416"/>
    <w:rsid w:val="03232ABF"/>
    <w:rsid w:val="0332621A"/>
    <w:rsid w:val="0338092F"/>
    <w:rsid w:val="03A8028B"/>
    <w:rsid w:val="04043B6B"/>
    <w:rsid w:val="044E498E"/>
    <w:rsid w:val="04581CB1"/>
    <w:rsid w:val="045845E5"/>
    <w:rsid w:val="04756450"/>
    <w:rsid w:val="047676AE"/>
    <w:rsid w:val="047828C4"/>
    <w:rsid w:val="048B3E34"/>
    <w:rsid w:val="04B1269F"/>
    <w:rsid w:val="04DC4077"/>
    <w:rsid w:val="04F077FB"/>
    <w:rsid w:val="053B7608"/>
    <w:rsid w:val="054418A4"/>
    <w:rsid w:val="056326BB"/>
    <w:rsid w:val="05971CB3"/>
    <w:rsid w:val="05F872A7"/>
    <w:rsid w:val="062215F7"/>
    <w:rsid w:val="06306995"/>
    <w:rsid w:val="06FC125F"/>
    <w:rsid w:val="0708351A"/>
    <w:rsid w:val="070B4DB8"/>
    <w:rsid w:val="070E482B"/>
    <w:rsid w:val="0710575B"/>
    <w:rsid w:val="07944BFB"/>
    <w:rsid w:val="07C6165D"/>
    <w:rsid w:val="086745C4"/>
    <w:rsid w:val="08915791"/>
    <w:rsid w:val="089C7B43"/>
    <w:rsid w:val="089F7389"/>
    <w:rsid w:val="08A70CB1"/>
    <w:rsid w:val="08B01E51"/>
    <w:rsid w:val="08D13DE0"/>
    <w:rsid w:val="09BB0A53"/>
    <w:rsid w:val="09D55FA1"/>
    <w:rsid w:val="0A493D4E"/>
    <w:rsid w:val="0A5151D8"/>
    <w:rsid w:val="0A587EC1"/>
    <w:rsid w:val="0A5C592B"/>
    <w:rsid w:val="0A7B6587"/>
    <w:rsid w:val="0A892906"/>
    <w:rsid w:val="0ABA6D3B"/>
    <w:rsid w:val="0AC54C82"/>
    <w:rsid w:val="0ACC485F"/>
    <w:rsid w:val="0B024724"/>
    <w:rsid w:val="0B3568A8"/>
    <w:rsid w:val="0B5324AC"/>
    <w:rsid w:val="0B662B9F"/>
    <w:rsid w:val="0B751FAC"/>
    <w:rsid w:val="0B861C99"/>
    <w:rsid w:val="0B907BB3"/>
    <w:rsid w:val="0BB36AE2"/>
    <w:rsid w:val="0BE65140"/>
    <w:rsid w:val="0C18486F"/>
    <w:rsid w:val="0C324FBA"/>
    <w:rsid w:val="0C7D0506"/>
    <w:rsid w:val="0CA56CAD"/>
    <w:rsid w:val="0CD232A1"/>
    <w:rsid w:val="0CEE0342"/>
    <w:rsid w:val="0CFA68BB"/>
    <w:rsid w:val="0D0965F9"/>
    <w:rsid w:val="0D1A5202"/>
    <w:rsid w:val="0D4258E7"/>
    <w:rsid w:val="0D5101C4"/>
    <w:rsid w:val="0D686E2A"/>
    <w:rsid w:val="0DE409BC"/>
    <w:rsid w:val="0E0A401C"/>
    <w:rsid w:val="0E250E55"/>
    <w:rsid w:val="0E306947"/>
    <w:rsid w:val="0EE637C0"/>
    <w:rsid w:val="0EEB5186"/>
    <w:rsid w:val="0F2C6214"/>
    <w:rsid w:val="0F6239E3"/>
    <w:rsid w:val="0F695D1D"/>
    <w:rsid w:val="0F7F6E1B"/>
    <w:rsid w:val="0FCE728A"/>
    <w:rsid w:val="0FE819E9"/>
    <w:rsid w:val="1031653B"/>
    <w:rsid w:val="104C1B5D"/>
    <w:rsid w:val="10606CC9"/>
    <w:rsid w:val="109220A6"/>
    <w:rsid w:val="10E75640"/>
    <w:rsid w:val="10EA2A09"/>
    <w:rsid w:val="10EE5F33"/>
    <w:rsid w:val="10FB623C"/>
    <w:rsid w:val="11023AEE"/>
    <w:rsid w:val="110B3671"/>
    <w:rsid w:val="115744BC"/>
    <w:rsid w:val="11A034DF"/>
    <w:rsid w:val="11B3403C"/>
    <w:rsid w:val="11D53671"/>
    <w:rsid w:val="11EE4603"/>
    <w:rsid w:val="11F56D91"/>
    <w:rsid w:val="120D4074"/>
    <w:rsid w:val="12205734"/>
    <w:rsid w:val="12664571"/>
    <w:rsid w:val="12916351"/>
    <w:rsid w:val="129547B0"/>
    <w:rsid w:val="12E967D9"/>
    <w:rsid w:val="1305004B"/>
    <w:rsid w:val="1353104E"/>
    <w:rsid w:val="136872C9"/>
    <w:rsid w:val="13A857E6"/>
    <w:rsid w:val="142E381C"/>
    <w:rsid w:val="146B2F00"/>
    <w:rsid w:val="149A6190"/>
    <w:rsid w:val="14C172D3"/>
    <w:rsid w:val="14E8268A"/>
    <w:rsid w:val="15064E11"/>
    <w:rsid w:val="15134D13"/>
    <w:rsid w:val="15520875"/>
    <w:rsid w:val="15537942"/>
    <w:rsid w:val="15785D0F"/>
    <w:rsid w:val="15A36BD1"/>
    <w:rsid w:val="15B900D5"/>
    <w:rsid w:val="15C301DF"/>
    <w:rsid w:val="15C86BF9"/>
    <w:rsid w:val="15E433A4"/>
    <w:rsid w:val="160B6B83"/>
    <w:rsid w:val="16226043"/>
    <w:rsid w:val="162E3290"/>
    <w:rsid w:val="16744F33"/>
    <w:rsid w:val="16915A53"/>
    <w:rsid w:val="16962DEB"/>
    <w:rsid w:val="16CD4493"/>
    <w:rsid w:val="16EE19BB"/>
    <w:rsid w:val="17022BD8"/>
    <w:rsid w:val="172A6C08"/>
    <w:rsid w:val="173A4AD6"/>
    <w:rsid w:val="173B2B18"/>
    <w:rsid w:val="17411BFE"/>
    <w:rsid w:val="174C6450"/>
    <w:rsid w:val="1779567C"/>
    <w:rsid w:val="17A60844"/>
    <w:rsid w:val="18107D3D"/>
    <w:rsid w:val="18820657"/>
    <w:rsid w:val="189B14F6"/>
    <w:rsid w:val="18A26018"/>
    <w:rsid w:val="18C87B7E"/>
    <w:rsid w:val="191E6E44"/>
    <w:rsid w:val="19376AA4"/>
    <w:rsid w:val="194C4063"/>
    <w:rsid w:val="19F76D38"/>
    <w:rsid w:val="1AA42DA0"/>
    <w:rsid w:val="1B4D1683"/>
    <w:rsid w:val="1B52406E"/>
    <w:rsid w:val="1B9214FD"/>
    <w:rsid w:val="1BA95176"/>
    <w:rsid w:val="1BE32BB3"/>
    <w:rsid w:val="1BE74FC1"/>
    <w:rsid w:val="1C0E4241"/>
    <w:rsid w:val="1C4B78F1"/>
    <w:rsid w:val="1C634573"/>
    <w:rsid w:val="1C8F1FD2"/>
    <w:rsid w:val="1CB17D58"/>
    <w:rsid w:val="1CD07665"/>
    <w:rsid w:val="1CDA364E"/>
    <w:rsid w:val="1D9E27ED"/>
    <w:rsid w:val="1DAA6CB0"/>
    <w:rsid w:val="1DE008F5"/>
    <w:rsid w:val="1DE150CA"/>
    <w:rsid w:val="1DF56E01"/>
    <w:rsid w:val="1DF83E91"/>
    <w:rsid w:val="1E14059F"/>
    <w:rsid w:val="1E391DB3"/>
    <w:rsid w:val="1E3B4288"/>
    <w:rsid w:val="1E546BED"/>
    <w:rsid w:val="1E9B33C4"/>
    <w:rsid w:val="1E9D7D30"/>
    <w:rsid w:val="1EB678A8"/>
    <w:rsid w:val="1EC651AE"/>
    <w:rsid w:val="1ECB41E9"/>
    <w:rsid w:val="1ED075BB"/>
    <w:rsid w:val="1EE55C83"/>
    <w:rsid w:val="1EFA7794"/>
    <w:rsid w:val="1F391CC9"/>
    <w:rsid w:val="1FB618FD"/>
    <w:rsid w:val="1FE94BB3"/>
    <w:rsid w:val="1FEF4E1F"/>
    <w:rsid w:val="208E16D7"/>
    <w:rsid w:val="20C86C83"/>
    <w:rsid w:val="20EE157B"/>
    <w:rsid w:val="21246D4B"/>
    <w:rsid w:val="214142A7"/>
    <w:rsid w:val="2151084E"/>
    <w:rsid w:val="2153178B"/>
    <w:rsid w:val="215F1663"/>
    <w:rsid w:val="21892E60"/>
    <w:rsid w:val="21894591"/>
    <w:rsid w:val="21D938F6"/>
    <w:rsid w:val="21E91B4B"/>
    <w:rsid w:val="21F07E49"/>
    <w:rsid w:val="223D0812"/>
    <w:rsid w:val="227218EC"/>
    <w:rsid w:val="22745AB0"/>
    <w:rsid w:val="228B2E1A"/>
    <w:rsid w:val="22D12F9C"/>
    <w:rsid w:val="22D95123"/>
    <w:rsid w:val="22E9024C"/>
    <w:rsid w:val="2309409C"/>
    <w:rsid w:val="23662EAA"/>
    <w:rsid w:val="23812D01"/>
    <w:rsid w:val="23C93EAD"/>
    <w:rsid w:val="23FD7BF1"/>
    <w:rsid w:val="248D6176"/>
    <w:rsid w:val="24B77ED6"/>
    <w:rsid w:val="24C61B55"/>
    <w:rsid w:val="24CA309B"/>
    <w:rsid w:val="24E54A43"/>
    <w:rsid w:val="25301097"/>
    <w:rsid w:val="25753B62"/>
    <w:rsid w:val="25C25C6F"/>
    <w:rsid w:val="25C66622"/>
    <w:rsid w:val="25D51F72"/>
    <w:rsid w:val="25D634CF"/>
    <w:rsid w:val="25F54FBD"/>
    <w:rsid w:val="262554F7"/>
    <w:rsid w:val="263A3A88"/>
    <w:rsid w:val="26443A90"/>
    <w:rsid w:val="26542FC2"/>
    <w:rsid w:val="26644711"/>
    <w:rsid w:val="267C4F33"/>
    <w:rsid w:val="26972892"/>
    <w:rsid w:val="26A04868"/>
    <w:rsid w:val="26A70868"/>
    <w:rsid w:val="26AE5C9A"/>
    <w:rsid w:val="26BD689F"/>
    <w:rsid w:val="26C268E9"/>
    <w:rsid w:val="26CC2D07"/>
    <w:rsid w:val="273A1E1C"/>
    <w:rsid w:val="2746611E"/>
    <w:rsid w:val="27533EE6"/>
    <w:rsid w:val="27E92626"/>
    <w:rsid w:val="28047780"/>
    <w:rsid w:val="28344BDC"/>
    <w:rsid w:val="28A2203C"/>
    <w:rsid w:val="28EA61B0"/>
    <w:rsid w:val="294D468F"/>
    <w:rsid w:val="29B9024C"/>
    <w:rsid w:val="29CB3832"/>
    <w:rsid w:val="2A69535D"/>
    <w:rsid w:val="2A872905"/>
    <w:rsid w:val="2A8809B3"/>
    <w:rsid w:val="2AF34A1E"/>
    <w:rsid w:val="2B064FE2"/>
    <w:rsid w:val="2B393BBA"/>
    <w:rsid w:val="2B3A1910"/>
    <w:rsid w:val="2B406E77"/>
    <w:rsid w:val="2B7F2E0B"/>
    <w:rsid w:val="2B9F3B9D"/>
    <w:rsid w:val="2BA0741C"/>
    <w:rsid w:val="2BBB12AA"/>
    <w:rsid w:val="2C067BE7"/>
    <w:rsid w:val="2C09459B"/>
    <w:rsid w:val="2C7A7020"/>
    <w:rsid w:val="2CA366B3"/>
    <w:rsid w:val="2CC969F8"/>
    <w:rsid w:val="2CD52E84"/>
    <w:rsid w:val="2CFA0F56"/>
    <w:rsid w:val="2CFE5B63"/>
    <w:rsid w:val="2D015A4D"/>
    <w:rsid w:val="2D2E3AF8"/>
    <w:rsid w:val="2D38403A"/>
    <w:rsid w:val="2DC07DFB"/>
    <w:rsid w:val="2DE40802"/>
    <w:rsid w:val="2E27037F"/>
    <w:rsid w:val="2E346CB0"/>
    <w:rsid w:val="2E362BC9"/>
    <w:rsid w:val="2E400F3C"/>
    <w:rsid w:val="2E445A53"/>
    <w:rsid w:val="2E60060C"/>
    <w:rsid w:val="2E6F3155"/>
    <w:rsid w:val="2EC27E86"/>
    <w:rsid w:val="2ECA381D"/>
    <w:rsid w:val="2ED96599"/>
    <w:rsid w:val="2F390DD0"/>
    <w:rsid w:val="2F7010FF"/>
    <w:rsid w:val="2F776BDF"/>
    <w:rsid w:val="2F881996"/>
    <w:rsid w:val="2F907336"/>
    <w:rsid w:val="2FA6173C"/>
    <w:rsid w:val="2FAE1F9B"/>
    <w:rsid w:val="2FE47CF2"/>
    <w:rsid w:val="2FFD2D2C"/>
    <w:rsid w:val="30085A89"/>
    <w:rsid w:val="3061660D"/>
    <w:rsid w:val="30881D1B"/>
    <w:rsid w:val="308A74DD"/>
    <w:rsid w:val="3095556F"/>
    <w:rsid w:val="310F4EEA"/>
    <w:rsid w:val="311A42B6"/>
    <w:rsid w:val="312D157B"/>
    <w:rsid w:val="317B1505"/>
    <w:rsid w:val="31E4451B"/>
    <w:rsid w:val="31E80027"/>
    <w:rsid w:val="32152108"/>
    <w:rsid w:val="324500E4"/>
    <w:rsid w:val="326B1236"/>
    <w:rsid w:val="328F6057"/>
    <w:rsid w:val="32921473"/>
    <w:rsid w:val="32B1069F"/>
    <w:rsid w:val="32BE5007"/>
    <w:rsid w:val="32CB34CA"/>
    <w:rsid w:val="32D0096E"/>
    <w:rsid w:val="32E464EF"/>
    <w:rsid w:val="332A646A"/>
    <w:rsid w:val="334F571B"/>
    <w:rsid w:val="338213DC"/>
    <w:rsid w:val="338C7A43"/>
    <w:rsid w:val="33F97BC3"/>
    <w:rsid w:val="353662C7"/>
    <w:rsid w:val="35372441"/>
    <w:rsid w:val="354F2F67"/>
    <w:rsid w:val="35627637"/>
    <w:rsid w:val="35DD44FD"/>
    <w:rsid w:val="366018B0"/>
    <w:rsid w:val="36736724"/>
    <w:rsid w:val="36A7090F"/>
    <w:rsid w:val="36D641EB"/>
    <w:rsid w:val="37143942"/>
    <w:rsid w:val="37185A50"/>
    <w:rsid w:val="377777EA"/>
    <w:rsid w:val="37A25F09"/>
    <w:rsid w:val="37B0615E"/>
    <w:rsid w:val="37B51E93"/>
    <w:rsid w:val="38417AF2"/>
    <w:rsid w:val="38443DF7"/>
    <w:rsid w:val="38495B2A"/>
    <w:rsid w:val="386355BB"/>
    <w:rsid w:val="3866555D"/>
    <w:rsid w:val="38961804"/>
    <w:rsid w:val="38961E84"/>
    <w:rsid w:val="38997BC6"/>
    <w:rsid w:val="38BA6970"/>
    <w:rsid w:val="38F8669B"/>
    <w:rsid w:val="392B1D20"/>
    <w:rsid w:val="394A08B3"/>
    <w:rsid w:val="39777F08"/>
    <w:rsid w:val="39E436EC"/>
    <w:rsid w:val="3A1C460B"/>
    <w:rsid w:val="3A3951BD"/>
    <w:rsid w:val="3A4A5F9F"/>
    <w:rsid w:val="3A712EBE"/>
    <w:rsid w:val="3A923675"/>
    <w:rsid w:val="3A996A40"/>
    <w:rsid w:val="3A9C74FA"/>
    <w:rsid w:val="3ACC7DF3"/>
    <w:rsid w:val="3AFD268F"/>
    <w:rsid w:val="3B0F0FB6"/>
    <w:rsid w:val="3B560E88"/>
    <w:rsid w:val="3BB43A35"/>
    <w:rsid w:val="3BD77A63"/>
    <w:rsid w:val="3BFB02D1"/>
    <w:rsid w:val="3C126AFB"/>
    <w:rsid w:val="3C1C3516"/>
    <w:rsid w:val="3C221C81"/>
    <w:rsid w:val="3C492610"/>
    <w:rsid w:val="3C541A88"/>
    <w:rsid w:val="3C9E294C"/>
    <w:rsid w:val="3CAE19C9"/>
    <w:rsid w:val="3D177EBA"/>
    <w:rsid w:val="3D377F17"/>
    <w:rsid w:val="3D670293"/>
    <w:rsid w:val="3D6E0485"/>
    <w:rsid w:val="3D70786A"/>
    <w:rsid w:val="3D7E738B"/>
    <w:rsid w:val="3DAC7D8E"/>
    <w:rsid w:val="3DC155B7"/>
    <w:rsid w:val="3DCF1A87"/>
    <w:rsid w:val="3DD86A9B"/>
    <w:rsid w:val="3DE94494"/>
    <w:rsid w:val="3E2F3835"/>
    <w:rsid w:val="3E327C95"/>
    <w:rsid w:val="3E3917A3"/>
    <w:rsid w:val="3E5556B4"/>
    <w:rsid w:val="3E7852F6"/>
    <w:rsid w:val="3E90381A"/>
    <w:rsid w:val="3E9150A6"/>
    <w:rsid w:val="3E984BCD"/>
    <w:rsid w:val="3EC42180"/>
    <w:rsid w:val="3EF35840"/>
    <w:rsid w:val="3F1D4F90"/>
    <w:rsid w:val="3F2A5CCE"/>
    <w:rsid w:val="3F760C61"/>
    <w:rsid w:val="3F79317A"/>
    <w:rsid w:val="3F813DAF"/>
    <w:rsid w:val="3F8B7CFA"/>
    <w:rsid w:val="3FF83425"/>
    <w:rsid w:val="3FFE14D4"/>
    <w:rsid w:val="4003196D"/>
    <w:rsid w:val="400A5336"/>
    <w:rsid w:val="406C5A4F"/>
    <w:rsid w:val="40775F83"/>
    <w:rsid w:val="40896A41"/>
    <w:rsid w:val="40B52091"/>
    <w:rsid w:val="40D7383D"/>
    <w:rsid w:val="40F76323"/>
    <w:rsid w:val="410A51EB"/>
    <w:rsid w:val="413D094E"/>
    <w:rsid w:val="414F2C34"/>
    <w:rsid w:val="41690C8C"/>
    <w:rsid w:val="417B3378"/>
    <w:rsid w:val="421F4820"/>
    <w:rsid w:val="42206C63"/>
    <w:rsid w:val="424D441A"/>
    <w:rsid w:val="42895EB8"/>
    <w:rsid w:val="429C278D"/>
    <w:rsid w:val="42C00085"/>
    <w:rsid w:val="42F06DEE"/>
    <w:rsid w:val="42F157B6"/>
    <w:rsid w:val="43120EFC"/>
    <w:rsid w:val="431C38CE"/>
    <w:rsid w:val="43496F57"/>
    <w:rsid w:val="436E253B"/>
    <w:rsid w:val="438574C7"/>
    <w:rsid w:val="43D14AC5"/>
    <w:rsid w:val="43F64F0D"/>
    <w:rsid w:val="44064915"/>
    <w:rsid w:val="44070E42"/>
    <w:rsid w:val="44186A5F"/>
    <w:rsid w:val="444104BA"/>
    <w:rsid w:val="444C3E6B"/>
    <w:rsid w:val="444E5D09"/>
    <w:rsid w:val="44512DD0"/>
    <w:rsid w:val="44542620"/>
    <w:rsid w:val="446C6A68"/>
    <w:rsid w:val="447A4B1D"/>
    <w:rsid w:val="44827761"/>
    <w:rsid w:val="4489594E"/>
    <w:rsid w:val="44983621"/>
    <w:rsid w:val="458F497A"/>
    <w:rsid w:val="45A430AC"/>
    <w:rsid w:val="45B63B66"/>
    <w:rsid w:val="45E74CCB"/>
    <w:rsid w:val="46252A99"/>
    <w:rsid w:val="462959BD"/>
    <w:rsid w:val="46367216"/>
    <w:rsid w:val="465B470D"/>
    <w:rsid w:val="46661EB1"/>
    <w:rsid w:val="46A41356"/>
    <w:rsid w:val="46AE0CE1"/>
    <w:rsid w:val="46D30747"/>
    <w:rsid w:val="46D750A3"/>
    <w:rsid w:val="474E6020"/>
    <w:rsid w:val="47C02A7A"/>
    <w:rsid w:val="47C85DD2"/>
    <w:rsid w:val="47F32ED0"/>
    <w:rsid w:val="47F513B1"/>
    <w:rsid w:val="4803505C"/>
    <w:rsid w:val="48082472"/>
    <w:rsid w:val="48102BB3"/>
    <w:rsid w:val="4836539F"/>
    <w:rsid w:val="48531B40"/>
    <w:rsid w:val="485A72DE"/>
    <w:rsid w:val="488834C7"/>
    <w:rsid w:val="48A56114"/>
    <w:rsid w:val="48C43F8D"/>
    <w:rsid w:val="48FA645F"/>
    <w:rsid w:val="492D2391"/>
    <w:rsid w:val="49362747"/>
    <w:rsid w:val="4969001C"/>
    <w:rsid w:val="49847F45"/>
    <w:rsid w:val="498D53F3"/>
    <w:rsid w:val="49901C9D"/>
    <w:rsid w:val="49A86D63"/>
    <w:rsid w:val="49C820BA"/>
    <w:rsid w:val="49ED647D"/>
    <w:rsid w:val="4A314103"/>
    <w:rsid w:val="4A73740A"/>
    <w:rsid w:val="4A8F4985"/>
    <w:rsid w:val="4A9B3632"/>
    <w:rsid w:val="4AB80051"/>
    <w:rsid w:val="4AC30A2F"/>
    <w:rsid w:val="4AC365B4"/>
    <w:rsid w:val="4AD13FE3"/>
    <w:rsid w:val="4AD55B10"/>
    <w:rsid w:val="4AE14F08"/>
    <w:rsid w:val="4AFA36EE"/>
    <w:rsid w:val="4B0D6550"/>
    <w:rsid w:val="4B9118E5"/>
    <w:rsid w:val="4C3F22AD"/>
    <w:rsid w:val="4C433587"/>
    <w:rsid w:val="4C5B006E"/>
    <w:rsid w:val="4CB66F68"/>
    <w:rsid w:val="4CBB318E"/>
    <w:rsid w:val="4D1A76EE"/>
    <w:rsid w:val="4D1E76C2"/>
    <w:rsid w:val="4D700B70"/>
    <w:rsid w:val="4D8C639D"/>
    <w:rsid w:val="4DC60F7F"/>
    <w:rsid w:val="4DE12B69"/>
    <w:rsid w:val="4DF76C0F"/>
    <w:rsid w:val="4E335FC5"/>
    <w:rsid w:val="4E643B05"/>
    <w:rsid w:val="4E6B5D7D"/>
    <w:rsid w:val="4EA04480"/>
    <w:rsid w:val="4EDD2163"/>
    <w:rsid w:val="4F0E67C1"/>
    <w:rsid w:val="4F626444"/>
    <w:rsid w:val="4FB36DEC"/>
    <w:rsid w:val="4FE021C4"/>
    <w:rsid w:val="4FF62BA4"/>
    <w:rsid w:val="4FF74E86"/>
    <w:rsid w:val="50081462"/>
    <w:rsid w:val="501F67AB"/>
    <w:rsid w:val="509C58BA"/>
    <w:rsid w:val="50B67110"/>
    <w:rsid w:val="50BA1715"/>
    <w:rsid w:val="50BB6B2A"/>
    <w:rsid w:val="510460CD"/>
    <w:rsid w:val="51234079"/>
    <w:rsid w:val="51984867"/>
    <w:rsid w:val="51E136B6"/>
    <w:rsid w:val="51E41A5B"/>
    <w:rsid w:val="52383444"/>
    <w:rsid w:val="524F13EF"/>
    <w:rsid w:val="525E473F"/>
    <w:rsid w:val="52A87D5A"/>
    <w:rsid w:val="52D27B05"/>
    <w:rsid w:val="52E31FE1"/>
    <w:rsid w:val="52F110D3"/>
    <w:rsid w:val="533018D3"/>
    <w:rsid w:val="539227A8"/>
    <w:rsid w:val="53B71706"/>
    <w:rsid w:val="53EE6A07"/>
    <w:rsid w:val="54047FAA"/>
    <w:rsid w:val="54166D17"/>
    <w:rsid w:val="54331D94"/>
    <w:rsid w:val="54363783"/>
    <w:rsid w:val="54692E0D"/>
    <w:rsid w:val="5475763E"/>
    <w:rsid w:val="548A061A"/>
    <w:rsid w:val="54B06195"/>
    <w:rsid w:val="54B06CDD"/>
    <w:rsid w:val="55094C59"/>
    <w:rsid w:val="550A2B92"/>
    <w:rsid w:val="551236C0"/>
    <w:rsid w:val="553636D5"/>
    <w:rsid w:val="558C0718"/>
    <w:rsid w:val="559F6CC5"/>
    <w:rsid w:val="55B9695A"/>
    <w:rsid w:val="55BF2DDB"/>
    <w:rsid w:val="56151906"/>
    <w:rsid w:val="5616577D"/>
    <w:rsid w:val="56217C11"/>
    <w:rsid w:val="56242EE4"/>
    <w:rsid w:val="563E29EF"/>
    <w:rsid w:val="56466C64"/>
    <w:rsid w:val="565E627F"/>
    <w:rsid w:val="56835CE6"/>
    <w:rsid w:val="56BD75D8"/>
    <w:rsid w:val="57172304"/>
    <w:rsid w:val="57247512"/>
    <w:rsid w:val="57544F8D"/>
    <w:rsid w:val="5758166F"/>
    <w:rsid w:val="57643691"/>
    <w:rsid w:val="58203F56"/>
    <w:rsid w:val="58321523"/>
    <w:rsid w:val="58444CBD"/>
    <w:rsid w:val="5886561A"/>
    <w:rsid w:val="58BB529D"/>
    <w:rsid w:val="58CD4A56"/>
    <w:rsid w:val="58FA484A"/>
    <w:rsid w:val="595128D6"/>
    <w:rsid w:val="59525440"/>
    <w:rsid w:val="595A2800"/>
    <w:rsid w:val="59647A8C"/>
    <w:rsid w:val="596C1CE3"/>
    <w:rsid w:val="597A333C"/>
    <w:rsid w:val="599F088C"/>
    <w:rsid w:val="59A86D05"/>
    <w:rsid w:val="59AA55BB"/>
    <w:rsid w:val="59F93409"/>
    <w:rsid w:val="5A146E0A"/>
    <w:rsid w:val="5A185705"/>
    <w:rsid w:val="5A3B264B"/>
    <w:rsid w:val="5A5D74CA"/>
    <w:rsid w:val="5A615335"/>
    <w:rsid w:val="5A755E1D"/>
    <w:rsid w:val="5A9A1850"/>
    <w:rsid w:val="5AA17BDB"/>
    <w:rsid w:val="5ABB411E"/>
    <w:rsid w:val="5B6D0D13"/>
    <w:rsid w:val="5B83605B"/>
    <w:rsid w:val="5BBE0918"/>
    <w:rsid w:val="5BC56459"/>
    <w:rsid w:val="5BE61FD0"/>
    <w:rsid w:val="5C3D0DE2"/>
    <w:rsid w:val="5C595E6E"/>
    <w:rsid w:val="5C765986"/>
    <w:rsid w:val="5C9F47F5"/>
    <w:rsid w:val="5CA02A22"/>
    <w:rsid w:val="5CA638D6"/>
    <w:rsid w:val="5CA755D4"/>
    <w:rsid w:val="5CB07976"/>
    <w:rsid w:val="5D2E121F"/>
    <w:rsid w:val="5E7968A6"/>
    <w:rsid w:val="5E9947F2"/>
    <w:rsid w:val="5EF04839"/>
    <w:rsid w:val="5EF534F9"/>
    <w:rsid w:val="5F0F75F0"/>
    <w:rsid w:val="5F37482C"/>
    <w:rsid w:val="5F43694E"/>
    <w:rsid w:val="5F4F0BAF"/>
    <w:rsid w:val="5F8A2976"/>
    <w:rsid w:val="5F8D54E0"/>
    <w:rsid w:val="5FFE7E32"/>
    <w:rsid w:val="602B6AA7"/>
    <w:rsid w:val="602F47E9"/>
    <w:rsid w:val="602F6AE1"/>
    <w:rsid w:val="609E54CA"/>
    <w:rsid w:val="60C24C13"/>
    <w:rsid w:val="60CC2209"/>
    <w:rsid w:val="61053BFE"/>
    <w:rsid w:val="613228FD"/>
    <w:rsid w:val="616B2F2E"/>
    <w:rsid w:val="617374B7"/>
    <w:rsid w:val="61881DE1"/>
    <w:rsid w:val="619D4372"/>
    <w:rsid w:val="61A62889"/>
    <w:rsid w:val="61B27E94"/>
    <w:rsid w:val="61CD6067"/>
    <w:rsid w:val="61D81D79"/>
    <w:rsid w:val="61FD282A"/>
    <w:rsid w:val="620E56DF"/>
    <w:rsid w:val="62821148"/>
    <w:rsid w:val="62976AEB"/>
    <w:rsid w:val="62BE4ED9"/>
    <w:rsid w:val="62C21E48"/>
    <w:rsid w:val="62E71914"/>
    <w:rsid w:val="63182A09"/>
    <w:rsid w:val="6323733D"/>
    <w:rsid w:val="63302D52"/>
    <w:rsid w:val="635A531B"/>
    <w:rsid w:val="637A7B6D"/>
    <w:rsid w:val="63CA3D09"/>
    <w:rsid w:val="63E21779"/>
    <w:rsid w:val="640D49DC"/>
    <w:rsid w:val="64247D75"/>
    <w:rsid w:val="64346D94"/>
    <w:rsid w:val="643D4284"/>
    <w:rsid w:val="64445EA1"/>
    <w:rsid w:val="648B3FB8"/>
    <w:rsid w:val="648B65D5"/>
    <w:rsid w:val="64EE70DB"/>
    <w:rsid w:val="65333A02"/>
    <w:rsid w:val="65584B18"/>
    <w:rsid w:val="65C66850"/>
    <w:rsid w:val="66382AD3"/>
    <w:rsid w:val="663F30F5"/>
    <w:rsid w:val="66426F52"/>
    <w:rsid w:val="664B5E8D"/>
    <w:rsid w:val="66521231"/>
    <w:rsid w:val="6664182B"/>
    <w:rsid w:val="66723C71"/>
    <w:rsid w:val="669C425A"/>
    <w:rsid w:val="66A30C9A"/>
    <w:rsid w:val="66A82AE0"/>
    <w:rsid w:val="66BB6E7B"/>
    <w:rsid w:val="66D75AA1"/>
    <w:rsid w:val="66F1077E"/>
    <w:rsid w:val="66FF388C"/>
    <w:rsid w:val="672C33FA"/>
    <w:rsid w:val="6754503C"/>
    <w:rsid w:val="675E2E42"/>
    <w:rsid w:val="675F53BA"/>
    <w:rsid w:val="67692BD0"/>
    <w:rsid w:val="678B49FB"/>
    <w:rsid w:val="67BD092C"/>
    <w:rsid w:val="68183DB4"/>
    <w:rsid w:val="682978C8"/>
    <w:rsid w:val="6863201F"/>
    <w:rsid w:val="687A681D"/>
    <w:rsid w:val="688E4077"/>
    <w:rsid w:val="68CD4ED2"/>
    <w:rsid w:val="68D91072"/>
    <w:rsid w:val="68F933EA"/>
    <w:rsid w:val="693B7312"/>
    <w:rsid w:val="6950001D"/>
    <w:rsid w:val="696E3567"/>
    <w:rsid w:val="697D6BA0"/>
    <w:rsid w:val="69B74E77"/>
    <w:rsid w:val="69D1246D"/>
    <w:rsid w:val="69D41930"/>
    <w:rsid w:val="69D576B1"/>
    <w:rsid w:val="69E95AB6"/>
    <w:rsid w:val="6A1A2624"/>
    <w:rsid w:val="6A434541"/>
    <w:rsid w:val="6A47736E"/>
    <w:rsid w:val="6A6634FD"/>
    <w:rsid w:val="6A6C4640"/>
    <w:rsid w:val="6A701DAD"/>
    <w:rsid w:val="6AAB7162"/>
    <w:rsid w:val="6AB33259"/>
    <w:rsid w:val="6AC36B8F"/>
    <w:rsid w:val="6ACB3360"/>
    <w:rsid w:val="6B9102CC"/>
    <w:rsid w:val="6BD821D8"/>
    <w:rsid w:val="6C6D6D39"/>
    <w:rsid w:val="6CAD189F"/>
    <w:rsid w:val="6CCE6C6E"/>
    <w:rsid w:val="6CD56718"/>
    <w:rsid w:val="6CD93A6B"/>
    <w:rsid w:val="6CF941B4"/>
    <w:rsid w:val="6D0D5F7A"/>
    <w:rsid w:val="6D287748"/>
    <w:rsid w:val="6D2D13C0"/>
    <w:rsid w:val="6D7E1671"/>
    <w:rsid w:val="6D8C3992"/>
    <w:rsid w:val="6D901199"/>
    <w:rsid w:val="6D9B34BE"/>
    <w:rsid w:val="6DCD0973"/>
    <w:rsid w:val="6DED3E8B"/>
    <w:rsid w:val="6E250FD9"/>
    <w:rsid w:val="6E3556C0"/>
    <w:rsid w:val="6E3D3B16"/>
    <w:rsid w:val="6E470F4F"/>
    <w:rsid w:val="6E605061"/>
    <w:rsid w:val="6E7B6E4B"/>
    <w:rsid w:val="6E8A25BC"/>
    <w:rsid w:val="6EB50BA0"/>
    <w:rsid w:val="6ED1674D"/>
    <w:rsid w:val="6ED47A93"/>
    <w:rsid w:val="6ED52173"/>
    <w:rsid w:val="6EE17826"/>
    <w:rsid w:val="6F123851"/>
    <w:rsid w:val="6F1F4BDB"/>
    <w:rsid w:val="6F293C8F"/>
    <w:rsid w:val="6F72024E"/>
    <w:rsid w:val="6F834209"/>
    <w:rsid w:val="6FF31222"/>
    <w:rsid w:val="6FF32F9F"/>
    <w:rsid w:val="70072083"/>
    <w:rsid w:val="701F03D6"/>
    <w:rsid w:val="7038252B"/>
    <w:rsid w:val="704020FA"/>
    <w:rsid w:val="705E7AFE"/>
    <w:rsid w:val="70744A3C"/>
    <w:rsid w:val="70765B1C"/>
    <w:rsid w:val="708E13D4"/>
    <w:rsid w:val="70980188"/>
    <w:rsid w:val="709D69C4"/>
    <w:rsid w:val="70EA1C95"/>
    <w:rsid w:val="711E1E6A"/>
    <w:rsid w:val="71341C5F"/>
    <w:rsid w:val="713E6FC7"/>
    <w:rsid w:val="717B6963"/>
    <w:rsid w:val="718E2787"/>
    <w:rsid w:val="71AC0316"/>
    <w:rsid w:val="71E55E05"/>
    <w:rsid w:val="71FF5840"/>
    <w:rsid w:val="72280003"/>
    <w:rsid w:val="7236565A"/>
    <w:rsid w:val="723B3782"/>
    <w:rsid w:val="723D2699"/>
    <w:rsid w:val="72404633"/>
    <w:rsid w:val="7244617C"/>
    <w:rsid w:val="72962054"/>
    <w:rsid w:val="72C6583F"/>
    <w:rsid w:val="72D3559A"/>
    <w:rsid w:val="732313B8"/>
    <w:rsid w:val="73510D90"/>
    <w:rsid w:val="73656D2A"/>
    <w:rsid w:val="73852C46"/>
    <w:rsid w:val="738B5D82"/>
    <w:rsid w:val="73912944"/>
    <w:rsid w:val="73927CFE"/>
    <w:rsid w:val="73961E18"/>
    <w:rsid w:val="73EB532F"/>
    <w:rsid w:val="73EC1A37"/>
    <w:rsid w:val="742E2554"/>
    <w:rsid w:val="746E2840"/>
    <w:rsid w:val="748C03E0"/>
    <w:rsid w:val="74AC669D"/>
    <w:rsid w:val="74D84FF7"/>
    <w:rsid w:val="74D873D7"/>
    <w:rsid w:val="74F33BDF"/>
    <w:rsid w:val="74F82FA3"/>
    <w:rsid w:val="75594B94"/>
    <w:rsid w:val="75664853"/>
    <w:rsid w:val="756D3D54"/>
    <w:rsid w:val="758B13D3"/>
    <w:rsid w:val="75B833F6"/>
    <w:rsid w:val="75B95618"/>
    <w:rsid w:val="76257951"/>
    <w:rsid w:val="763D4F92"/>
    <w:rsid w:val="7656372F"/>
    <w:rsid w:val="76A85F9E"/>
    <w:rsid w:val="76DA47D9"/>
    <w:rsid w:val="76F43C07"/>
    <w:rsid w:val="771001A6"/>
    <w:rsid w:val="77514BED"/>
    <w:rsid w:val="77796881"/>
    <w:rsid w:val="77816A17"/>
    <w:rsid w:val="778C5745"/>
    <w:rsid w:val="77AD7E13"/>
    <w:rsid w:val="77BD38D4"/>
    <w:rsid w:val="77C55536"/>
    <w:rsid w:val="77D00D41"/>
    <w:rsid w:val="77D73344"/>
    <w:rsid w:val="77F2017E"/>
    <w:rsid w:val="781E71C5"/>
    <w:rsid w:val="7826482C"/>
    <w:rsid w:val="78420344"/>
    <w:rsid w:val="78781AA4"/>
    <w:rsid w:val="78BF05B7"/>
    <w:rsid w:val="78C963B8"/>
    <w:rsid w:val="78D472A4"/>
    <w:rsid w:val="792B4CFE"/>
    <w:rsid w:val="7950779E"/>
    <w:rsid w:val="79777D7F"/>
    <w:rsid w:val="7989477D"/>
    <w:rsid w:val="79B24069"/>
    <w:rsid w:val="79BF6E73"/>
    <w:rsid w:val="7A1B6EF0"/>
    <w:rsid w:val="7AA25581"/>
    <w:rsid w:val="7AE84E0C"/>
    <w:rsid w:val="7B01022D"/>
    <w:rsid w:val="7B024B7C"/>
    <w:rsid w:val="7B20014C"/>
    <w:rsid w:val="7B5F3D7C"/>
    <w:rsid w:val="7B803CF3"/>
    <w:rsid w:val="7BC77B74"/>
    <w:rsid w:val="7BD24B39"/>
    <w:rsid w:val="7BE73D72"/>
    <w:rsid w:val="7BFFB94A"/>
    <w:rsid w:val="7C0C0E4A"/>
    <w:rsid w:val="7C241CA2"/>
    <w:rsid w:val="7C492337"/>
    <w:rsid w:val="7C4A2A5F"/>
    <w:rsid w:val="7C765821"/>
    <w:rsid w:val="7C9A7D78"/>
    <w:rsid w:val="7D3111DC"/>
    <w:rsid w:val="7D621DD5"/>
    <w:rsid w:val="7D6554C4"/>
    <w:rsid w:val="7D7A2A15"/>
    <w:rsid w:val="7D7F149A"/>
    <w:rsid w:val="7D9315D3"/>
    <w:rsid w:val="7D943BB7"/>
    <w:rsid w:val="7DAB324B"/>
    <w:rsid w:val="7DB21332"/>
    <w:rsid w:val="7DB93A92"/>
    <w:rsid w:val="7DCD6159"/>
    <w:rsid w:val="7DD82A51"/>
    <w:rsid w:val="7DD93C57"/>
    <w:rsid w:val="7DE62736"/>
    <w:rsid w:val="7E491D09"/>
    <w:rsid w:val="7E6143A9"/>
    <w:rsid w:val="7E8D7068"/>
    <w:rsid w:val="7E9755DB"/>
    <w:rsid w:val="7E9B2FD9"/>
    <w:rsid w:val="7EBD1A73"/>
    <w:rsid w:val="7EEA2D17"/>
    <w:rsid w:val="7F5F119D"/>
    <w:rsid w:val="7F604567"/>
    <w:rsid w:val="7FDD3FC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jc w:val="left"/>
      <w:outlineLvl w:val="0"/>
    </w:pPr>
    <w:rPr>
      <w:rFonts w:hint="eastAsia" w:ascii="宋体" w:hAnsi="宋体" w:eastAsia="宋体" w:cs="Times New Roman"/>
      <w:b/>
      <w:kern w:val="44"/>
      <w:sz w:val="24"/>
      <w:szCs w:val="2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宋体" w:hAnsi="宋体" w:eastAsia="宋体" w:cs="宋体"/>
      <w:szCs w:val="21"/>
      <w:lang w:val="zh-CN" w:bidi="zh-CN"/>
    </w:rPr>
  </w:style>
  <w:style w:type="paragraph" w:styleId="3">
    <w:name w:val="Body Text First Indent"/>
    <w:basedOn w:val="2"/>
    <w:next w:val="1"/>
    <w:qFormat/>
    <w:uiPriority w:val="0"/>
    <w:pPr>
      <w:spacing w:after="120"/>
      <w:ind w:firstLine="420" w:firstLineChars="100"/>
    </w:pPr>
  </w:style>
  <w:style w:type="paragraph" w:styleId="5">
    <w:name w:val="Block Text"/>
    <w:basedOn w:val="1"/>
    <w:qFormat/>
    <w:uiPriority w:val="0"/>
    <w:pPr>
      <w:ind w:left="-899" w:leftChars="-428" w:right="-693" w:rightChars="-330" w:firstLine="420" w:firstLineChars="200"/>
    </w:pPr>
    <w:rPr>
      <w:rFonts w:ascii="Times New Roman" w:hAnsi="Times New Roman" w:eastAsia="宋体" w:cs="Times New Roman"/>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rPr>
  </w:style>
  <w:style w:type="character" w:styleId="12">
    <w:name w:val="FollowedHyperlink"/>
    <w:basedOn w:val="10"/>
    <w:semiHidden/>
    <w:unhideWhenUsed/>
    <w:qFormat/>
    <w:uiPriority w:val="99"/>
    <w:rPr>
      <w:color w:val="333333"/>
      <w:u w:val="none"/>
    </w:rPr>
  </w:style>
  <w:style w:type="character" w:styleId="13">
    <w:name w:val="Emphasis"/>
    <w:basedOn w:val="10"/>
    <w:qFormat/>
    <w:uiPriority w:val="20"/>
  </w:style>
  <w:style w:type="character" w:styleId="14">
    <w:name w:val="HTML Definition"/>
    <w:basedOn w:val="10"/>
    <w:semiHidden/>
    <w:unhideWhenUsed/>
    <w:qFormat/>
    <w:uiPriority w:val="99"/>
    <w:rPr>
      <w:i/>
    </w:rPr>
  </w:style>
  <w:style w:type="character" w:styleId="15">
    <w:name w:val="HTML Acronym"/>
    <w:basedOn w:val="10"/>
    <w:semiHidden/>
    <w:unhideWhenUsed/>
    <w:qFormat/>
    <w:uiPriority w:val="99"/>
  </w:style>
  <w:style w:type="character" w:styleId="16">
    <w:name w:val="HTML Variable"/>
    <w:basedOn w:val="10"/>
    <w:semiHidden/>
    <w:unhideWhenUsed/>
    <w:qFormat/>
    <w:uiPriority w:val="99"/>
    <w:rPr>
      <w:i/>
    </w:rPr>
  </w:style>
  <w:style w:type="character" w:styleId="17">
    <w:name w:val="Hyperlink"/>
    <w:basedOn w:val="10"/>
    <w:semiHidden/>
    <w:unhideWhenUsed/>
    <w:qFormat/>
    <w:uiPriority w:val="99"/>
    <w:rPr>
      <w:color w:val="333333"/>
      <w:u w:val="none"/>
    </w:rPr>
  </w:style>
  <w:style w:type="character" w:styleId="18">
    <w:name w:val="HTML Code"/>
    <w:basedOn w:val="10"/>
    <w:semiHidden/>
    <w:unhideWhenUsed/>
    <w:qFormat/>
    <w:uiPriority w:val="99"/>
    <w:rPr>
      <w:rFonts w:ascii="Courier New" w:hAnsi="Courier New"/>
      <w:sz w:val="20"/>
    </w:rPr>
  </w:style>
  <w:style w:type="character" w:styleId="19">
    <w:name w:val="HTML Cite"/>
    <w:basedOn w:val="10"/>
    <w:semiHidden/>
    <w:unhideWhenUsed/>
    <w:qFormat/>
    <w:uiPriority w:val="99"/>
    <w:rPr>
      <w:i/>
    </w:rPr>
  </w:style>
  <w:style w:type="paragraph" w:styleId="20">
    <w:name w:val="List Paragraph"/>
    <w:basedOn w:val="1"/>
    <w:qFormat/>
    <w:uiPriority w:val="34"/>
    <w:pPr>
      <w:ind w:firstLine="420" w:firstLineChars="200"/>
    </w:pPr>
  </w:style>
  <w:style w:type="character" w:customStyle="1" w:styleId="21">
    <w:name w:val="sq"/>
    <w:basedOn w:val="10"/>
    <w:qFormat/>
    <w:uiPriority w:val="0"/>
  </w:style>
  <w:style w:type="character" w:customStyle="1" w:styleId="22">
    <w:name w:val="引用1"/>
    <w:basedOn w:val="10"/>
    <w:qFormat/>
    <w:uiPriority w:val="0"/>
    <w:rPr>
      <w:color w:val="000000"/>
      <w:bdr w:val="dashed" w:color="BFDFFF" w:sz="6" w:space="0"/>
      <w:shd w:val="clear" w:color="auto" w:fill="F5FB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28</Pages>
  <Words>19064</Words>
  <Characters>20060</Characters>
  <Lines>148</Lines>
  <Paragraphs>41</Paragraphs>
  <TotalTime>11</TotalTime>
  <ScaleCrop>false</ScaleCrop>
  <LinksUpToDate>false</LinksUpToDate>
  <CharactersWithSpaces>20600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2022-01-24T15:20:00Z</dcterms:created>
  <dc:creator>HY</dc:creator>
  <cp:lastModifiedBy>M</cp:lastModifiedBy>
  <dcterms:modified xsi:type="dcterms:W3CDTF">2022-11-06T04:10:57Z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CE09960BA0434C2D871E6518B6EAB9AA</vt:lpwstr>
  </property>
  <property fmtid="{D5CDD505-2E9C-101B-9397-08002B2CF9AE}" pid="4" name="woTemplateTypoMode" linkTarget="0">
    <vt:lpwstr>web</vt:lpwstr>
  </property>
  <property fmtid="{D5CDD505-2E9C-101B-9397-08002B2CF9AE}" pid="5" name="woTemplate" linkTarget="0">
    <vt:i4>1</vt:i4>
  </property>
</Properties>
</file>