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line="500" w:lineRule="exact"/>
        <w:jc w:val="center"/>
        <w:rPr>
          <w:rFonts w:hint="default" w:ascii="黑体" w:hAnsi="黑体" w:eastAsia="黑体" w:cs="黑体"/>
          <w:sz w:val="44"/>
          <w:szCs w:val="44"/>
        </w:rPr>
      </w:pPr>
      <w:r>
        <w:rPr>
          <w:rFonts w:ascii="黑体" w:hAnsi="黑体" w:eastAsia="黑体" w:cs="黑体"/>
          <w:sz w:val="44"/>
          <w:szCs w:val="44"/>
        </w:rPr>
        <w:t>买卖合同（样稿）</w:t>
      </w:r>
    </w:p>
    <w:p>
      <w:pPr>
        <w:adjustRightInd w:val="0"/>
        <w:snapToGrid w:val="0"/>
        <w:spacing w:line="500" w:lineRule="exact"/>
        <w:rPr>
          <w:rFonts w:ascii="仿宋" w:hAnsi="仿宋" w:eastAsia="仿宋" w:cs="仿宋"/>
          <w:sz w:val="28"/>
          <w:szCs w:val="28"/>
        </w:rPr>
      </w:pPr>
    </w:p>
    <w:p>
      <w:pPr>
        <w:adjustRightInd w:val="0"/>
        <w:snapToGrid w:val="0"/>
        <w:spacing w:line="480" w:lineRule="atLeast"/>
        <w:rPr>
          <w:rFonts w:ascii="仿宋" w:hAnsi="仿宋" w:eastAsia="仿宋" w:cs="仿宋"/>
          <w:sz w:val="28"/>
          <w:szCs w:val="28"/>
        </w:rPr>
      </w:pPr>
      <w:r>
        <w:rPr>
          <w:rFonts w:hint="eastAsia" w:ascii="仿宋" w:hAnsi="仿宋" w:eastAsia="仿宋" w:cs="仿宋"/>
          <w:sz w:val="28"/>
          <w:szCs w:val="28"/>
        </w:rPr>
        <w:t>出让方：</w:t>
      </w:r>
      <w:r>
        <w:rPr>
          <w:rFonts w:hint="eastAsia" w:ascii="仿宋" w:hAnsi="仿宋" w:eastAsia="仿宋" w:cs="仿宋"/>
          <w:sz w:val="28"/>
          <w:szCs w:val="28"/>
          <w:u w:val="single"/>
        </w:rPr>
        <w:t xml:space="preserve">                     </w:t>
      </w:r>
      <w:r>
        <w:rPr>
          <w:rFonts w:hint="eastAsia" w:ascii="仿宋" w:hAnsi="仿宋" w:eastAsia="仿宋" w:cs="仿宋"/>
          <w:sz w:val="28"/>
          <w:szCs w:val="28"/>
        </w:rPr>
        <w:t>（以下简称甲方）</w:t>
      </w:r>
    </w:p>
    <w:p>
      <w:pPr>
        <w:adjustRightInd w:val="0"/>
        <w:snapToGrid w:val="0"/>
        <w:spacing w:line="480" w:lineRule="atLeast"/>
        <w:rPr>
          <w:rFonts w:ascii="仿宋" w:hAnsi="仿宋" w:eastAsia="仿宋" w:cs="仿宋"/>
          <w:sz w:val="28"/>
          <w:szCs w:val="28"/>
        </w:rPr>
      </w:pPr>
    </w:p>
    <w:p>
      <w:pPr>
        <w:adjustRightInd w:val="0"/>
        <w:snapToGrid w:val="0"/>
        <w:spacing w:line="480" w:lineRule="atLeast"/>
        <w:rPr>
          <w:rFonts w:ascii="仿宋" w:hAnsi="仿宋" w:eastAsia="仿宋" w:cs="仿宋"/>
          <w:sz w:val="28"/>
          <w:szCs w:val="28"/>
        </w:rPr>
      </w:pPr>
      <w:r>
        <w:rPr>
          <w:rFonts w:hint="eastAsia" w:ascii="仿宋" w:hAnsi="仿宋" w:eastAsia="仿宋" w:cs="仿宋"/>
          <w:sz w:val="28"/>
          <w:szCs w:val="28"/>
        </w:rPr>
        <w:t>受让方：</w:t>
      </w:r>
      <w:r>
        <w:rPr>
          <w:rFonts w:hint="eastAsia" w:ascii="仿宋" w:hAnsi="仿宋" w:eastAsia="仿宋" w:cs="仿宋"/>
          <w:sz w:val="28"/>
          <w:szCs w:val="28"/>
          <w:u w:val="single"/>
        </w:rPr>
        <w:t xml:space="preserve">                     </w:t>
      </w:r>
      <w:r>
        <w:rPr>
          <w:rFonts w:hint="eastAsia" w:ascii="仿宋" w:hAnsi="仿宋" w:eastAsia="仿宋" w:cs="仿宋"/>
          <w:sz w:val="28"/>
          <w:szCs w:val="28"/>
        </w:rPr>
        <w:t>（以下简称乙方）</w:t>
      </w:r>
    </w:p>
    <w:p>
      <w:pPr>
        <w:adjustRightInd w:val="0"/>
        <w:snapToGrid w:val="0"/>
        <w:spacing w:line="480" w:lineRule="atLeast"/>
        <w:ind w:firstLine="560" w:firstLineChars="200"/>
        <w:rPr>
          <w:rFonts w:ascii="仿宋" w:hAnsi="仿宋" w:eastAsia="仿宋" w:cs="仿宋"/>
          <w:sz w:val="28"/>
          <w:szCs w:val="28"/>
        </w:rPr>
      </w:pPr>
    </w:p>
    <w:p>
      <w:pPr>
        <w:adjustRightInd w:val="0"/>
        <w:snapToGrid w:val="0"/>
        <w:spacing w:line="480" w:lineRule="atLeast"/>
        <w:ind w:firstLine="560" w:firstLineChars="200"/>
        <w:rPr>
          <w:rFonts w:ascii="仿宋" w:hAnsi="仿宋" w:eastAsia="仿宋" w:cs="仿宋"/>
          <w:kern w:val="0"/>
          <w:sz w:val="28"/>
          <w:szCs w:val="28"/>
        </w:rPr>
      </w:pPr>
      <w:r>
        <w:rPr>
          <w:rFonts w:hint="eastAsia" w:ascii="仿宋" w:hAnsi="仿宋" w:eastAsia="仿宋" w:cs="仿宋"/>
          <w:sz w:val="28"/>
          <w:szCs w:val="28"/>
        </w:rPr>
        <w:t>绍兴市汤浦水库清淤扩容工程中产生的，位于柯桥区</w:t>
      </w:r>
      <w:r>
        <w:rPr>
          <w:rFonts w:hint="eastAsia" w:ascii="仿宋" w:hAnsi="仿宋" w:eastAsia="仿宋" w:cs="仿宋"/>
          <w:b/>
          <w:bCs/>
          <w:sz w:val="28"/>
          <w:szCs w:val="28"/>
        </w:rPr>
        <w:t>平水镇西岙口堆料场指定区域内的砂石统料共计</w:t>
      </w:r>
      <w:r>
        <w:rPr>
          <w:rFonts w:hint="eastAsia" w:ascii="仿宋" w:hAnsi="仿宋" w:eastAsia="仿宋" w:cs="仿宋"/>
          <w:b/>
          <w:bCs/>
          <w:sz w:val="28"/>
          <w:szCs w:val="28"/>
          <w:u w:val="single"/>
        </w:rPr>
        <w:t xml:space="preserve"> 20 </w:t>
      </w:r>
      <w:r>
        <w:rPr>
          <w:rFonts w:hint="eastAsia" w:ascii="仿宋" w:hAnsi="仿宋" w:eastAsia="仿宋" w:cs="仿宋"/>
          <w:b/>
          <w:bCs/>
          <w:sz w:val="28"/>
          <w:szCs w:val="28"/>
        </w:rPr>
        <w:t>万m³</w:t>
      </w:r>
      <w:r>
        <w:rPr>
          <w:rFonts w:hint="eastAsia" w:ascii="仿宋" w:hAnsi="仿宋" w:eastAsia="仿宋" w:cs="仿宋"/>
          <w:sz w:val="28"/>
          <w:szCs w:val="28"/>
        </w:rPr>
        <w:t>，可利用和不可利用物料整体拍卖转让</w:t>
      </w:r>
      <w:r>
        <w:rPr>
          <w:rFonts w:hint="eastAsia" w:ascii="仿宋" w:hAnsi="仿宋" w:eastAsia="仿宋" w:cs="仿宋"/>
          <w:kern w:val="0"/>
          <w:sz w:val="28"/>
          <w:szCs w:val="28"/>
        </w:rPr>
        <w:t>。</w:t>
      </w:r>
      <w:r>
        <w:rPr>
          <w:rFonts w:hint="eastAsia" w:ascii="仿宋" w:hAnsi="仿宋" w:eastAsia="仿宋" w:cs="仿宋"/>
          <w:sz w:val="28"/>
          <w:szCs w:val="28"/>
        </w:rPr>
        <w:t>经</w:t>
      </w:r>
      <w:r>
        <w:rPr>
          <w:rFonts w:hint="eastAsia" w:ascii="仿宋" w:hAnsi="仿宋" w:eastAsia="仿宋" w:cs="仿宋"/>
          <w:sz w:val="28"/>
          <w:szCs w:val="28"/>
          <w:u w:val="single"/>
        </w:rPr>
        <w:t>浙江天恒拍卖有限公司诸暨分公司</w:t>
      </w:r>
      <w:r>
        <w:rPr>
          <w:rFonts w:hint="eastAsia" w:ascii="仿宋" w:hAnsi="仿宋" w:eastAsia="仿宋" w:cs="仿宋"/>
          <w:sz w:val="28"/>
          <w:szCs w:val="28"/>
        </w:rPr>
        <w:t>于2022年</w:t>
      </w:r>
      <w:r>
        <w:rPr>
          <w:rFonts w:hint="eastAsia" w:ascii="仿宋" w:hAnsi="仿宋" w:eastAsia="仿宋" w:cs="仿宋"/>
          <w:sz w:val="28"/>
          <w:szCs w:val="28"/>
          <w:u w:val="single"/>
        </w:rPr>
        <w:t>11</w:t>
      </w:r>
      <w:r>
        <w:rPr>
          <w:rFonts w:hint="eastAsia" w:ascii="仿宋" w:hAnsi="仿宋" w:eastAsia="仿宋" w:cs="仿宋"/>
          <w:sz w:val="28"/>
          <w:szCs w:val="28"/>
        </w:rPr>
        <w:t>月</w:t>
      </w:r>
      <w:r>
        <w:rPr>
          <w:rFonts w:hint="eastAsia" w:ascii="仿宋" w:hAnsi="仿宋" w:eastAsia="仿宋" w:cs="仿宋"/>
          <w:sz w:val="28"/>
          <w:szCs w:val="28"/>
          <w:u w:val="single"/>
        </w:rPr>
        <w:t>25</w:t>
      </w:r>
      <w:r>
        <w:rPr>
          <w:rFonts w:hint="eastAsia" w:ascii="仿宋" w:hAnsi="仿宋" w:eastAsia="仿宋" w:cs="仿宋"/>
          <w:sz w:val="28"/>
          <w:szCs w:val="28"/>
        </w:rPr>
        <w:t>日9：00至11：05（延时除外）在中国拍卖行业协会中拍平台线上公开拍卖</w:t>
      </w:r>
      <w:r>
        <w:rPr>
          <w:rFonts w:hint="eastAsia" w:ascii="仿宋" w:hAnsi="仿宋" w:eastAsia="仿宋" w:cs="仿宋"/>
          <w:kern w:val="0"/>
          <w:sz w:val="28"/>
          <w:szCs w:val="28"/>
        </w:rPr>
        <w:t>，乙方经竞拍成为最终买受人，现甲乙双方就转让事宜，根据相关法律法规等规定，特签订本合同：</w:t>
      </w:r>
    </w:p>
    <w:p>
      <w:pPr>
        <w:adjustRightInd w:val="0"/>
        <w:snapToGrid w:val="0"/>
        <w:spacing w:line="480" w:lineRule="atLeast"/>
        <w:ind w:firstLine="562" w:firstLineChars="200"/>
        <w:rPr>
          <w:rFonts w:ascii="仿宋" w:hAnsi="仿宋" w:eastAsia="仿宋" w:cs="仿宋"/>
          <w:b/>
          <w:sz w:val="28"/>
          <w:szCs w:val="28"/>
        </w:rPr>
      </w:pPr>
      <w:r>
        <w:rPr>
          <w:rFonts w:hint="eastAsia" w:ascii="仿宋" w:hAnsi="仿宋" w:eastAsia="仿宋" w:cs="仿宋"/>
          <w:b/>
          <w:sz w:val="28"/>
          <w:szCs w:val="28"/>
        </w:rPr>
        <w:t>一、出让标的</w:t>
      </w:r>
    </w:p>
    <w:p>
      <w:pPr>
        <w:adjustRightInd w:val="0"/>
        <w:snapToGrid w:val="0"/>
        <w:spacing w:line="480" w:lineRule="atLeast"/>
        <w:ind w:firstLine="560" w:firstLineChars="200"/>
        <w:rPr>
          <w:rFonts w:ascii="仿宋" w:hAnsi="仿宋" w:eastAsia="仿宋" w:cs="仿宋"/>
          <w:sz w:val="28"/>
          <w:szCs w:val="28"/>
        </w:rPr>
      </w:pPr>
      <w:r>
        <w:rPr>
          <w:rFonts w:hint="eastAsia" w:ascii="仿宋" w:hAnsi="仿宋" w:eastAsia="仿宋" w:cs="仿宋"/>
          <w:sz w:val="28"/>
          <w:szCs w:val="28"/>
        </w:rPr>
        <w:t>西岙口堆料场指定区域内的砂石统料共计</w:t>
      </w:r>
      <w:r>
        <w:rPr>
          <w:rFonts w:hint="eastAsia" w:ascii="仿宋" w:hAnsi="仿宋" w:eastAsia="仿宋" w:cs="仿宋"/>
          <w:sz w:val="28"/>
          <w:szCs w:val="28"/>
          <w:u w:val="single"/>
        </w:rPr>
        <w:t xml:space="preserve"> 20</w:t>
      </w:r>
      <w:r>
        <w:rPr>
          <w:rFonts w:hint="eastAsia" w:ascii="仿宋" w:hAnsi="仿宋" w:eastAsia="仿宋" w:cs="仿宋"/>
          <w:sz w:val="28"/>
          <w:szCs w:val="28"/>
        </w:rPr>
        <w:t>万m³，甲方不保证其质量、品质等，均以</w:t>
      </w:r>
      <w:r>
        <w:rPr>
          <w:rFonts w:hint="eastAsia" w:ascii="仿宋" w:hAnsi="仿宋" w:eastAsia="仿宋" w:cs="仿宋"/>
          <w:b/>
          <w:bCs/>
          <w:sz w:val="28"/>
          <w:szCs w:val="28"/>
        </w:rPr>
        <w:t>甲方以移交时的实物现状为准。</w:t>
      </w:r>
    </w:p>
    <w:tbl>
      <w:tblPr>
        <w:tblStyle w:val="9"/>
        <w:tblW w:w="857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4"/>
        <w:gridCol w:w="1404"/>
        <w:gridCol w:w="1297"/>
        <w:gridCol w:w="169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624" w:type="dxa"/>
            <w:vAlign w:val="center"/>
          </w:tcPr>
          <w:p>
            <w:pPr>
              <w:adjustRightInd w:val="0"/>
              <w:snapToGrid w:val="0"/>
              <w:spacing w:line="480" w:lineRule="atLeast"/>
              <w:jc w:val="center"/>
              <w:rPr>
                <w:rFonts w:ascii="仿宋" w:hAnsi="仿宋" w:eastAsia="仿宋" w:cs="仿宋"/>
                <w:sz w:val="28"/>
                <w:szCs w:val="28"/>
              </w:rPr>
            </w:pPr>
            <w:r>
              <w:rPr>
                <w:rFonts w:hint="eastAsia" w:ascii="仿宋" w:hAnsi="仿宋" w:eastAsia="仿宋" w:cs="仿宋"/>
                <w:sz w:val="28"/>
                <w:szCs w:val="28"/>
              </w:rPr>
              <w:t>产品名称</w:t>
            </w:r>
          </w:p>
        </w:tc>
        <w:tc>
          <w:tcPr>
            <w:tcW w:w="1404" w:type="dxa"/>
            <w:vAlign w:val="center"/>
          </w:tcPr>
          <w:p>
            <w:pPr>
              <w:adjustRightInd w:val="0"/>
              <w:snapToGrid w:val="0"/>
              <w:spacing w:line="480" w:lineRule="atLeast"/>
              <w:jc w:val="center"/>
              <w:rPr>
                <w:rFonts w:ascii="仿宋" w:hAnsi="仿宋" w:eastAsia="仿宋" w:cs="仿宋"/>
                <w:sz w:val="28"/>
                <w:szCs w:val="28"/>
              </w:rPr>
            </w:pPr>
            <w:r>
              <w:rPr>
                <w:rFonts w:hint="eastAsia" w:ascii="仿宋" w:hAnsi="仿宋" w:eastAsia="仿宋" w:cs="仿宋"/>
                <w:sz w:val="28"/>
                <w:szCs w:val="28"/>
              </w:rPr>
              <w:t>数量</w:t>
            </w:r>
          </w:p>
          <w:p>
            <w:pPr>
              <w:adjustRightInd w:val="0"/>
              <w:snapToGrid w:val="0"/>
              <w:spacing w:line="480" w:lineRule="atLeast"/>
              <w:jc w:val="center"/>
              <w:rPr>
                <w:rFonts w:ascii="仿宋" w:hAnsi="仿宋" w:eastAsia="仿宋" w:cs="仿宋"/>
                <w:sz w:val="28"/>
                <w:szCs w:val="28"/>
              </w:rPr>
            </w:pPr>
            <w:r>
              <w:rPr>
                <w:rFonts w:hint="eastAsia" w:ascii="仿宋" w:hAnsi="仿宋" w:eastAsia="仿宋" w:cs="仿宋"/>
                <w:sz w:val="28"/>
                <w:szCs w:val="28"/>
              </w:rPr>
              <w:t>（m³）</w:t>
            </w:r>
          </w:p>
        </w:tc>
        <w:tc>
          <w:tcPr>
            <w:tcW w:w="1297" w:type="dxa"/>
            <w:vAlign w:val="center"/>
          </w:tcPr>
          <w:p>
            <w:pPr>
              <w:adjustRightInd w:val="0"/>
              <w:snapToGrid w:val="0"/>
              <w:spacing w:line="480" w:lineRule="atLeast"/>
              <w:jc w:val="center"/>
              <w:rPr>
                <w:rFonts w:ascii="仿宋" w:hAnsi="仿宋" w:eastAsia="仿宋" w:cs="仿宋"/>
                <w:sz w:val="28"/>
                <w:szCs w:val="28"/>
              </w:rPr>
            </w:pPr>
            <w:r>
              <w:rPr>
                <w:rFonts w:hint="eastAsia" w:ascii="仿宋" w:hAnsi="仿宋" w:eastAsia="仿宋" w:cs="仿宋"/>
                <w:sz w:val="28"/>
                <w:szCs w:val="28"/>
              </w:rPr>
              <w:t>单价</w:t>
            </w:r>
          </w:p>
          <w:p>
            <w:pPr>
              <w:adjustRightInd w:val="0"/>
              <w:snapToGrid w:val="0"/>
              <w:spacing w:line="480" w:lineRule="atLeast"/>
              <w:jc w:val="center"/>
              <w:rPr>
                <w:rFonts w:ascii="仿宋" w:hAnsi="仿宋" w:eastAsia="仿宋" w:cs="仿宋"/>
                <w:sz w:val="28"/>
                <w:szCs w:val="28"/>
              </w:rPr>
            </w:pPr>
            <w:r>
              <w:rPr>
                <w:rFonts w:hint="eastAsia" w:ascii="仿宋" w:hAnsi="仿宋" w:eastAsia="仿宋" w:cs="仿宋"/>
                <w:sz w:val="28"/>
                <w:szCs w:val="28"/>
              </w:rPr>
              <w:t>（元/m³）</w:t>
            </w:r>
          </w:p>
        </w:tc>
        <w:tc>
          <w:tcPr>
            <w:tcW w:w="1693" w:type="dxa"/>
            <w:vAlign w:val="center"/>
          </w:tcPr>
          <w:p>
            <w:pPr>
              <w:adjustRightInd w:val="0"/>
              <w:snapToGrid w:val="0"/>
              <w:spacing w:line="480" w:lineRule="atLeast"/>
              <w:jc w:val="center"/>
              <w:rPr>
                <w:rFonts w:ascii="仿宋" w:hAnsi="仿宋" w:eastAsia="仿宋" w:cs="仿宋"/>
                <w:sz w:val="28"/>
                <w:szCs w:val="28"/>
              </w:rPr>
            </w:pPr>
            <w:r>
              <w:rPr>
                <w:rFonts w:hint="eastAsia" w:ascii="仿宋" w:hAnsi="仿宋" w:eastAsia="仿宋" w:cs="仿宋"/>
                <w:sz w:val="28"/>
                <w:szCs w:val="28"/>
              </w:rPr>
              <w:t>货款总价</w:t>
            </w:r>
          </w:p>
          <w:p>
            <w:pPr>
              <w:adjustRightInd w:val="0"/>
              <w:snapToGrid w:val="0"/>
              <w:spacing w:line="480" w:lineRule="atLeast"/>
              <w:jc w:val="center"/>
              <w:rPr>
                <w:rFonts w:ascii="仿宋" w:hAnsi="仿宋" w:eastAsia="仿宋" w:cs="仿宋"/>
                <w:sz w:val="28"/>
                <w:szCs w:val="28"/>
              </w:rPr>
            </w:pPr>
            <w:r>
              <w:rPr>
                <w:rFonts w:hint="eastAsia" w:ascii="仿宋" w:hAnsi="仿宋" w:eastAsia="仿宋" w:cs="仿宋"/>
                <w:sz w:val="28"/>
                <w:szCs w:val="28"/>
              </w:rPr>
              <w:t>（元）</w:t>
            </w:r>
          </w:p>
        </w:tc>
        <w:tc>
          <w:tcPr>
            <w:tcW w:w="1560" w:type="dxa"/>
            <w:vAlign w:val="center"/>
          </w:tcPr>
          <w:p>
            <w:pPr>
              <w:adjustRightInd w:val="0"/>
              <w:snapToGrid w:val="0"/>
              <w:spacing w:line="480" w:lineRule="atLeast"/>
              <w:jc w:val="center"/>
              <w:rPr>
                <w:rFonts w:ascii="仿宋" w:hAnsi="仿宋" w:eastAsia="仿宋" w:cs="仿宋"/>
                <w:sz w:val="28"/>
                <w:szCs w:val="28"/>
              </w:rPr>
            </w:pPr>
            <w:r>
              <w:rPr>
                <w:rFonts w:hint="eastAsia" w:ascii="仿宋" w:hAnsi="仿宋" w:eastAsia="仿宋" w:cs="仿宋"/>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624" w:type="dxa"/>
            <w:vAlign w:val="center"/>
          </w:tcPr>
          <w:p>
            <w:pPr>
              <w:adjustRightInd w:val="0"/>
              <w:snapToGrid w:val="0"/>
              <w:spacing w:line="480" w:lineRule="atLeast"/>
              <w:jc w:val="center"/>
              <w:rPr>
                <w:rFonts w:ascii="仿宋" w:hAnsi="仿宋" w:eastAsia="仿宋" w:cs="仿宋"/>
                <w:sz w:val="28"/>
                <w:szCs w:val="28"/>
              </w:rPr>
            </w:pPr>
            <w:r>
              <w:rPr>
                <w:rFonts w:hint="eastAsia" w:ascii="仿宋" w:hAnsi="仿宋" w:eastAsia="仿宋" w:cs="仿宋"/>
                <w:sz w:val="28"/>
                <w:szCs w:val="28"/>
              </w:rPr>
              <w:t>西岙口堆料场指定</w:t>
            </w:r>
          </w:p>
          <w:p>
            <w:pPr>
              <w:adjustRightInd w:val="0"/>
              <w:snapToGrid w:val="0"/>
              <w:spacing w:line="480" w:lineRule="atLeast"/>
              <w:rPr>
                <w:rFonts w:ascii="仿宋" w:hAnsi="仿宋" w:eastAsia="仿宋" w:cs="仿宋"/>
                <w:sz w:val="24"/>
                <w:szCs w:val="24"/>
              </w:rPr>
            </w:pPr>
            <w:r>
              <w:rPr>
                <w:rFonts w:hint="eastAsia" w:ascii="仿宋" w:hAnsi="仿宋" w:eastAsia="仿宋" w:cs="仿宋"/>
                <w:sz w:val="28"/>
                <w:szCs w:val="28"/>
              </w:rPr>
              <w:t>区域内的砂石统料</w:t>
            </w:r>
          </w:p>
        </w:tc>
        <w:tc>
          <w:tcPr>
            <w:tcW w:w="1404" w:type="dxa"/>
            <w:vAlign w:val="center"/>
          </w:tcPr>
          <w:p>
            <w:pPr>
              <w:adjustRightInd w:val="0"/>
              <w:snapToGrid w:val="0"/>
              <w:spacing w:line="480" w:lineRule="atLeast"/>
              <w:jc w:val="center"/>
              <w:rPr>
                <w:rFonts w:ascii="仿宋" w:hAnsi="仿宋" w:eastAsia="仿宋" w:cs="仿宋"/>
                <w:sz w:val="28"/>
                <w:szCs w:val="28"/>
              </w:rPr>
            </w:pPr>
            <w:r>
              <w:rPr>
                <w:rFonts w:hint="eastAsia" w:ascii="仿宋" w:hAnsi="仿宋" w:eastAsia="仿宋" w:cs="仿宋"/>
                <w:sz w:val="28"/>
                <w:szCs w:val="28"/>
              </w:rPr>
              <w:t>200000</w:t>
            </w:r>
          </w:p>
        </w:tc>
        <w:tc>
          <w:tcPr>
            <w:tcW w:w="1297" w:type="dxa"/>
            <w:vAlign w:val="center"/>
          </w:tcPr>
          <w:p>
            <w:pPr>
              <w:adjustRightInd w:val="0"/>
              <w:snapToGrid w:val="0"/>
              <w:spacing w:line="480" w:lineRule="atLeast"/>
              <w:jc w:val="center"/>
              <w:rPr>
                <w:rFonts w:ascii="仿宋" w:hAnsi="仿宋" w:eastAsia="仿宋" w:cs="仿宋"/>
                <w:sz w:val="28"/>
                <w:szCs w:val="28"/>
              </w:rPr>
            </w:pPr>
          </w:p>
        </w:tc>
        <w:tc>
          <w:tcPr>
            <w:tcW w:w="1693" w:type="dxa"/>
            <w:vAlign w:val="center"/>
          </w:tcPr>
          <w:p>
            <w:pPr>
              <w:adjustRightInd w:val="0"/>
              <w:snapToGrid w:val="0"/>
              <w:spacing w:line="480" w:lineRule="atLeast"/>
              <w:jc w:val="center"/>
              <w:rPr>
                <w:rFonts w:ascii="仿宋" w:hAnsi="仿宋" w:eastAsia="仿宋" w:cs="仿宋"/>
                <w:sz w:val="28"/>
                <w:szCs w:val="28"/>
              </w:rPr>
            </w:pPr>
          </w:p>
        </w:tc>
        <w:tc>
          <w:tcPr>
            <w:tcW w:w="1560" w:type="dxa"/>
            <w:vAlign w:val="center"/>
          </w:tcPr>
          <w:p>
            <w:pPr>
              <w:adjustRightInd w:val="0"/>
              <w:snapToGrid w:val="0"/>
              <w:spacing w:line="480" w:lineRule="atLeast"/>
              <w:jc w:val="center"/>
              <w:rPr>
                <w:rFonts w:ascii="仿宋" w:hAnsi="仿宋" w:eastAsia="仿宋" w:cs="仿宋"/>
                <w:sz w:val="28"/>
                <w:szCs w:val="28"/>
              </w:rPr>
            </w:pPr>
            <w:r>
              <w:rPr>
                <w:rFonts w:hint="eastAsia" w:ascii="仿宋" w:hAnsi="仿宋" w:eastAsia="仿宋" w:cs="仿宋"/>
                <w:sz w:val="28"/>
                <w:szCs w:val="28"/>
              </w:rPr>
              <w:t>提取范围详见方量测量报告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578" w:type="dxa"/>
            <w:gridSpan w:val="5"/>
            <w:vAlign w:val="center"/>
          </w:tcPr>
          <w:p>
            <w:pPr>
              <w:adjustRightInd w:val="0"/>
              <w:snapToGrid w:val="0"/>
              <w:spacing w:line="480" w:lineRule="atLeast"/>
              <w:rPr>
                <w:rFonts w:ascii="仿宋" w:hAnsi="仿宋" w:eastAsia="仿宋" w:cs="仿宋"/>
                <w:b/>
                <w:bCs/>
                <w:sz w:val="28"/>
                <w:szCs w:val="28"/>
              </w:rPr>
            </w:pPr>
            <w:r>
              <w:rPr>
                <w:rFonts w:hint="eastAsia" w:ascii="仿宋" w:hAnsi="仿宋" w:eastAsia="仿宋" w:cs="仿宋"/>
                <w:sz w:val="28"/>
                <w:szCs w:val="28"/>
              </w:rPr>
              <w:t>合计人民币大写：</w:t>
            </w:r>
          </w:p>
        </w:tc>
      </w:tr>
    </w:tbl>
    <w:p>
      <w:pPr>
        <w:adjustRightInd w:val="0"/>
        <w:snapToGrid w:val="0"/>
        <w:spacing w:line="480" w:lineRule="atLeas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二、供应及质量</w:t>
      </w:r>
    </w:p>
    <w:p>
      <w:pPr>
        <w:adjustRightInd w:val="0"/>
        <w:snapToGrid w:val="0"/>
        <w:spacing w:line="480" w:lineRule="atLeas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乙方提取标的时，须按照绍兴市炬鑫勘测规划设计有限公司出具的《西岙口堆料场砂石统料首测方量测量（按清表后计算）》中“西岙口堆场砂砾石块区(二)”的作业范围、要求、标准自行提取，提取期间乙方须确保按期足额提清200000m³；2023年1月1日起，若水位达到30米（含）以上，则乙方须按照《西岙口堆料场砂石统料首测方量测量(按平场标高30米计算)》中“西岙口堆场砂砾石块区(一)”的作业范围、要求、标准按期足额提清剩余方量。</w:t>
      </w:r>
    </w:p>
    <w:p>
      <w:pPr>
        <w:adjustRightInd w:val="0"/>
        <w:snapToGrid w:val="0"/>
        <w:spacing w:line="480" w:lineRule="atLeas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2.乙方按合同规定要求提取完毕后，甲方或甲方指定人再次委托绍兴市炬鑫勘测规划设计有限公司，以结算测量方式确定乙方实际提取的方量X。</w:t>
      </w:r>
      <w:r>
        <w:rPr>
          <w:rFonts w:hint="eastAsia" w:ascii="仿宋_GB2312" w:hAnsi="仿宋_GB2312" w:eastAsia="仿宋_GB2312" w:cs="仿宋_GB2312"/>
          <w:sz w:val="28"/>
          <w:szCs w:val="28"/>
        </w:rPr>
        <w:t>超溢</w:t>
      </w:r>
      <w:r>
        <w:rPr>
          <w:rFonts w:hint="eastAsia" w:ascii="仿宋_GB2312" w:hAnsi="仿宋_GB2312" w:eastAsia="仿宋_GB2312" w:cs="仿宋_GB2312"/>
          <w:kern w:val="0"/>
          <w:sz w:val="28"/>
          <w:szCs w:val="28"/>
        </w:rPr>
        <w:t>方量按以下方式结算：</w:t>
      </w:r>
    </w:p>
    <w:p>
      <w:pPr>
        <w:adjustRightInd w:val="0"/>
        <w:snapToGrid w:val="0"/>
        <w:spacing w:line="480" w:lineRule="atLeas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当X超过约定方量200000m³的，超溢方量在5000m³以内（含5000m³）部分，按合同单价结算[即：合同单价*（X-200000)]；超溢方量在5000m³以外部分，按合同单价的双倍结算[即：合同单价*（X-200000-5000)*2]，两部分累加后计算差额款，乙方在接到甲方交款通知后，三天内向甲方指定账户补交差价款；乙方逾期补交的，甲方在履约保证金中直接扣除结算。若X小于合同约定方量200000</w:t>
      </w:r>
      <w:r>
        <w:rPr>
          <w:rFonts w:hint="eastAsia" w:ascii="仿宋" w:hAnsi="仿宋" w:eastAsia="仿宋" w:cs="仿宋"/>
          <w:sz w:val="28"/>
          <w:szCs w:val="28"/>
        </w:rPr>
        <w:t>m³</w:t>
      </w:r>
      <w:r>
        <w:rPr>
          <w:rFonts w:hint="eastAsia" w:ascii="仿宋_GB2312" w:hAnsi="仿宋_GB2312" w:eastAsia="仿宋_GB2312" w:cs="仿宋_GB2312"/>
          <w:kern w:val="0"/>
          <w:sz w:val="28"/>
          <w:szCs w:val="28"/>
        </w:rPr>
        <w:t>的，则甲方不退差价款，乙方在本合同要求的提货期限内，继续在甲方指定的场地区域内提足剩余方量，甲方或甲方指定人委托绍兴市炬鑫勘测规划设计有限公司再作补充方量测量报告确认实际提取的方量。若存在溢价方量的，按前述溢价方量条款结算。</w:t>
      </w:r>
    </w:p>
    <w:p>
      <w:pPr>
        <w:adjustRightInd w:val="0"/>
        <w:snapToGrid w:val="0"/>
        <w:spacing w:line="480" w:lineRule="atLeas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由于前后测量方式（绍兴市炬鑫勘测规划设计有限公司出具的首测方量测量报告和结算方量测量报告、补充方量测量报告）确定砂石统料的相关数据为理论计算数值，乙方报名参与竞拍后，视为完全认同以该方式确定砂石统料提取的实际方量、合同价款结算，及由甲方或甲方指定人指定的第三方单位出具方量测量报告、测量结果内容数据等，可能存在的相关风险和损益均由乙方自负。</w:t>
      </w:r>
    </w:p>
    <w:p>
      <w:pPr>
        <w:pStyle w:val="3"/>
        <w:adjustRightInd w:val="0"/>
        <w:snapToGrid w:val="0"/>
        <w:spacing w:after="0" w:line="480" w:lineRule="atLeast"/>
        <w:ind w:firstLine="560" w:firstLineChars="200"/>
        <w:rPr>
          <w:rFonts w:ascii="仿宋_GB2312" w:hAnsi="仿宋_GB2312" w:eastAsia="仿宋_GB2312" w:cs="仿宋_GB2312"/>
          <w:lang w:val="en-US"/>
        </w:rPr>
      </w:pPr>
      <w:r>
        <w:rPr>
          <w:rFonts w:hint="eastAsia" w:ascii="仿宋_GB2312" w:hAnsi="仿宋_GB2312" w:eastAsia="仿宋_GB2312" w:cs="仿宋_GB2312"/>
          <w:kern w:val="0"/>
          <w:sz w:val="28"/>
          <w:szCs w:val="28"/>
          <w:lang w:val="en-US" w:bidi="ar-SA"/>
        </w:rPr>
        <w:t>4.乙方应根据提取进度及时通知</w:t>
      </w:r>
      <w:r>
        <w:rPr>
          <w:rFonts w:hint="eastAsia" w:ascii="仿宋_GB2312" w:hAnsi="仿宋_GB2312" w:eastAsia="仿宋_GB2312" w:cs="仿宋_GB2312"/>
          <w:kern w:val="0"/>
          <w:sz w:val="28"/>
          <w:szCs w:val="28"/>
          <w:lang w:val="en-US"/>
        </w:rPr>
        <w:t>甲方或甲方指定人</w:t>
      </w:r>
      <w:r>
        <w:rPr>
          <w:rFonts w:hint="eastAsia" w:ascii="仿宋_GB2312" w:hAnsi="仿宋_GB2312" w:eastAsia="仿宋_GB2312" w:cs="仿宋_GB2312"/>
          <w:kern w:val="0"/>
          <w:sz w:val="28"/>
          <w:szCs w:val="28"/>
          <w:lang w:val="en-US" w:bidi="ar-SA"/>
        </w:rPr>
        <w:t>进行结算方量测量及补充方量测量。因未及时通知或实际提取方量超过预计提取方量等原因产生溢价方量而造成所有成本费用均由乙方承担，</w:t>
      </w:r>
      <w:r>
        <w:rPr>
          <w:rFonts w:hint="eastAsia" w:ascii="仿宋_GB2312" w:hAnsi="仿宋_GB2312" w:eastAsia="仿宋_GB2312" w:cs="仿宋_GB2312"/>
          <w:kern w:val="0"/>
          <w:sz w:val="28"/>
          <w:szCs w:val="28"/>
          <w:lang w:val="en-US"/>
        </w:rPr>
        <w:t>甲方或甲方指定人</w:t>
      </w:r>
      <w:r>
        <w:rPr>
          <w:rFonts w:hint="eastAsia" w:ascii="仿宋_GB2312" w:hAnsi="仿宋_GB2312" w:eastAsia="仿宋_GB2312" w:cs="仿宋_GB2312"/>
          <w:kern w:val="0"/>
          <w:sz w:val="28"/>
          <w:szCs w:val="28"/>
          <w:lang w:val="en-US" w:bidi="ar-SA"/>
        </w:rPr>
        <w:t>不承担任何责任。第三方单位进行结算方量测量及补充方量测量时，乙方可以指派人员到场了解情况，但应尊重并无条件接受第三方单位的测量方式及测量结果内容数据等，</w:t>
      </w:r>
      <w:r>
        <w:rPr>
          <w:rFonts w:hint="eastAsia" w:ascii="仿宋_GB2312" w:hAnsi="仿宋_GB2312" w:eastAsia="仿宋_GB2312" w:cs="仿宋_GB2312"/>
          <w:kern w:val="0"/>
          <w:sz w:val="28"/>
          <w:szCs w:val="28"/>
          <w:lang w:val="en-US"/>
        </w:rPr>
        <w:t>可能存在的相关风险和损益均由乙方自负。</w:t>
      </w:r>
    </w:p>
    <w:p>
      <w:pPr>
        <w:adjustRightInd w:val="0"/>
        <w:snapToGrid w:val="0"/>
        <w:spacing w:line="480" w:lineRule="atLeast"/>
        <w:ind w:firstLine="560" w:firstLineChars="200"/>
        <w:rPr>
          <w:rFonts w:ascii="仿宋_GB2312" w:hAnsi="仿宋_GB2312" w:eastAsia="仿宋_GB2312" w:cs="仿宋_GB2312"/>
        </w:rPr>
      </w:pPr>
      <w:r>
        <w:rPr>
          <w:rFonts w:hint="eastAsia" w:ascii="仿宋_GB2312" w:hAnsi="仿宋_GB2312" w:eastAsia="仿宋_GB2312" w:cs="仿宋_GB2312"/>
          <w:sz w:val="28"/>
          <w:szCs w:val="28"/>
        </w:rPr>
        <w:t>5.</w:t>
      </w:r>
      <w:r>
        <w:rPr>
          <w:rFonts w:hint="eastAsia" w:ascii="仿宋_GB2312" w:hAnsi="仿宋_GB2312" w:eastAsia="仿宋_GB2312" w:cs="仿宋_GB2312"/>
          <w:kern w:val="0"/>
          <w:sz w:val="28"/>
          <w:szCs w:val="28"/>
        </w:rPr>
        <w:t>本次砂石统料，形态特征、品质状况、缺陷情况、松散系数、抗压强度、含水率、成分类型、成分比例、地质情况、含泥废料等不可利用的夹杂物含量占比、实际可利用率等均以移交时的实物现状为准。甲方不提供任何方面的担保或保证，乙方应无条件的接收，不得以质量、品质等任何理由拒绝提货。乙方在利用或以其他方式处置标的过程中，产生的质量、安全等问题，甲方不承担任何责任，由此产生一切的责任及后果均由乙方承担。</w:t>
      </w:r>
    </w:p>
    <w:p>
      <w:pPr>
        <w:adjustRightInd w:val="0"/>
        <w:snapToGrid w:val="0"/>
        <w:spacing w:line="480" w:lineRule="atLeas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三、</w:t>
      </w:r>
      <w:r>
        <w:rPr>
          <w:rFonts w:hint="eastAsia" w:ascii="仿宋_GB2312" w:hAnsi="仿宋_GB2312" w:eastAsia="仿宋_GB2312" w:cs="仿宋_GB2312"/>
          <w:b/>
          <w:bCs/>
          <w:sz w:val="28"/>
          <w:szCs w:val="28"/>
        </w:rPr>
        <w:t>交付方式及提货期限</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交付方式：乙方在付清所有拍卖应付款项（含逾期缴款滞纳金）并签订本合同后，方可具备提货条件。本合同签订之日起第5个日历天开始计算作业及装运时间，乙方怠于办理标的接收手续的，后期标的作业及装运时间逾期的违约责任自负。</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2.交付地点：柯桥区平水镇西岙口堆料场甲方指定的区域。</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标的提取、装运、利用由乙方自行负责衔接完成，以上所涉及的事项及操作环节、机械运输设备及乙方取得标的物期间，按照国家及当地政策规定需要由专业资质机构及人员操作作业的，乙方按照有关规定需要委托专业资质机构及人员现场作业，所涉及的一切费用均由乙方自理。</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乙方在组织作业及装运过程中应符合交通、运输及环保等相关规定，进度应满足甲方的要求，提货期限为130个日历天，即自开始计算作业及装运时间起130个日历天内完成，若乙方在130个日历天内提货达到200000m³则视为乙方提货完毕。如因乙方原因导致无法按期足额完成提货的，每延迟一天扣履约保证金</w:t>
      </w:r>
      <w:r>
        <w:rPr>
          <w:rFonts w:hint="eastAsia" w:ascii="仿宋_GB2312" w:hAnsi="仿宋_GB2312" w:eastAsia="仿宋_GB2312" w:cs="仿宋_GB2312"/>
          <w:sz w:val="28"/>
          <w:szCs w:val="28"/>
          <w:u w:val="single"/>
        </w:rPr>
        <w:t xml:space="preserve"> 1.5 </w:t>
      </w:r>
      <w:r>
        <w:rPr>
          <w:rFonts w:hint="eastAsia" w:ascii="仿宋_GB2312" w:hAnsi="仿宋_GB2312" w:eastAsia="仿宋_GB2312" w:cs="仿宋_GB2312"/>
          <w:sz w:val="28"/>
          <w:szCs w:val="28"/>
        </w:rPr>
        <w:t>万元，延迟十天（含）以上的，每延迟一天扣履约保证金</w:t>
      </w:r>
      <w:r>
        <w:rPr>
          <w:rFonts w:hint="eastAsia" w:ascii="仿宋_GB2312" w:hAnsi="仿宋_GB2312" w:eastAsia="仿宋_GB2312" w:cs="仿宋_GB2312"/>
          <w:sz w:val="28"/>
          <w:szCs w:val="28"/>
          <w:u w:val="single"/>
        </w:rPr>
        <w:t xml:space="preserve">  3 </w:t>
      </w:r>
      <w:r>
        <w:rPr>
          <w:rFonts w:hint="eastAsia" w:ascii="仿宋_GB2312" w:hAnsi="仿宋_GB2312" w:eastAsia="仿宋_GB2312" w:cs="仿宋_GB2312"/>
          <w:sz w:val="28"/>
          <w:szCs w:val="28"/>
        </w:rPr>
        <w:t>万元。</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5.为满足汤浦水库清淤扩容工程施工进度、安全等要求，若乙方提前提货完毕的，且经甲方现场验收确认，每提前一天甲方或其指定人给予乙方进度奖</w:t>
      </w:r>
      <w:r>
        <w:rPr>
          <w:rFonts w:hint="eastAsia" w:ascii="仿宋_GB2312" w:hAnsi="仿宋_GB2312" w:eastAsia="仿宋_GB2312" w:cs="仿宋_GB2312"/>
          <w:sz w:val="28"/>
          <w:szCs w:val="28"/>
          <w:u w:val="single"/>
        </w:rPr>
        <w:t xml:space="preserve">  0.8 </w:t>
      </w:r>
      <w:r>
        <w:rPr>
          <w:rFonts w:hint="eastAsia" w:ascii="仿宋_GB2312" w:hAnsi="仿宋_GB2312" w:eastAsia="仿宋_GB2312" w:cs="仿宋_GB2312"/>
          <w:sz w:val="28"/>
          <w:szCs w:val="28"/>
        </w:rPr>
        <w:t>万元。乙方自进场到按合同约定提货完毕期间，未发生有影响的信访及越级信访、群体性事件和安全责任事故等，可向甲方提出书面申请，经甲方核实后，甲方或其指定人给予乙方</w:t>
      </w:r>
      <w:r>
        <w:rPr>
          <w:rFonts w:hint="eastAsia" w:ascii="仿宋_GB2312" w:hAnsi="仿宋_GB2312" w:eastAsia="仿宋_GB2312" w:cs="仿宋_GB2312"/>
          <w:sz w:val="28"/>
          <w:szCs w:val="28"/>
          <w:u w:val="single"/>
        </w:rPr>
        <w:t xml:space="preserve">  3 万元以上15万元以下</w:t>
      </w:r>
      <w:r>
        <w:rPr>
          <w:rFonts w:hint="eastAsia" w:ascii="仿宋_GB2312" w:hAnsi="仿宋_GB2312" w:eastAsia="仿宋_GB2312" w:cs="仿宋_GB2312"/>
          <w:sz w:val="28"/>
          <w:szCs w:val="28"/>
        </w:rPr>
        <w:t>的安全奖，具体金额由甲方视安全管理等实际情况确定。乙方需提供增值税发票。</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其他：乙方负责提取期间的挖方、装料、外运、安全等，以及运输沿线政策处理、场内外扬尘防控、保洁等工作，外运过程中要加强超载超限治理及环保方面的防控，并符合环境执法、交通管理等行政执法部门的要求。如在装车、运输等过程中被环境执法、交通管理等行政执法部门查处并处罚的，应及时整改并承担一切责任，同时不能影响提货进度。乙方应充分预估并承担汤浦水库水位淹没标的物导致的自身损失及费用，若由此造成作业及装运进度影响的，甲方视情考虑予以延期。</w:t>
      </w:r>
    </w:p>
    <w:p>
      <w:pPr>
        <w:adjustRightInd w:val="0"/>
        <w:snapToGrid w:val="0"/>
        <w:spacing w:line="480" w:lineRule="atLeast"/>
        <w:ind w:firstLine="562" w:firstLineChars="200"/>
        <w:rPr>
          <w:rFonts w:ascii="仿宋_GB2312" w:hAnsi="仿宋_GB2312" w:eastAsia="仿宋_GB2312" w:cs="仿宋_GB2312"/>
        </w:rPr>
      </w:pPr>
      <w:r>
        <w:rPr>
          <w:rFonts w:hint="eastAsia" w:ascii="仿宋_GB2312" w:hAnsi="仿宋_GB2312" w:eastAsia="仿宋_GB2312" w:cs="仿宋_GB2312"/>
          <w:b/>
          <w:sz w:val="28"/>
          <w:szCs w:val="28"/>
        </w:rPr>
        <w:t>四、安全及环保等约定</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乙方运输需符合国家相关法律法规及地方相关政策的要求，办理相应的审批报备手续。乙方应指派人员负责场地内及场地进出道路的车辆安全行驶，装运的运输车辆在场地内应严格按照甲方指定路线行驶，以避免妨碍现场正常施工。</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乙方在自行或委托他人提取、装运作业期间应确保安全，并按有关规定和规程进行合法合规作业。乙方在提取、装运等取得标的物期间给他人人身、财产及周边环境、设施等造成的损害赔偿均由乙方自行承担及支付，甲方不承担任何费用。如乙方不积极履行赔偿义务，甲方有权在乙方合同安全环保专项保证金中先行赔偿。</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3.标的物运输过程中，乙方应负责承担与周边镇、村及人员的协调责任，并承担由此产生的各项费用。甲方视情况给予乙方一定协助。</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乙方应按照有关法律法规规定，制定完善可行的施工方案和文明、环保施工保证措施，包括砂石运输进出道路的清扫；每次进出口对车辆的冲洗；做好砂石防抛洒的覆盖工作；配置雾炮机或雾炮车、洒水等降尘环保设备，抑制施工扬尘。同时在提取、装运、利用等取得标的物期间所产生的泥沙剥离物等的处理方式应当符合环保部门的要求。乙方可以借用场地内的车辆冲洗等现有设施设备，但应做好相关设备设施的日常维护、保养、管理工作。</w:t>
      </w:r>
    </w:p>
    <w:p>
      <w:pPr>
        <w:widowControl/>
        <w:adjustRightInd w:val="0"/>
        <w:snapToGrid w:val="0"/>
        <w:spacing w:line="48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乙方提取装运期间，应掌握挖方、外运等相关规定要求及安全防护知识，外运过程确保自身人身财产安全，无关人员不得进入。乙方不得在标的物堆放区销售、加工标的物。乙方必须在外运结束后一周内完成清场，清场后未经甲方允许，不得再进入场地。</w:t>
      </w:r>
    </w:p>
    <w:p>
      <w:pPr>
        <w:pStyle w:val="2"/>
        <w:adjustRightInd w:val="0"/>
        <w:snapToGrid w:val="0"/>
        <w:spacing w:line="480" w:lineRule="atLeas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6、根据《绍兴市柴油动力移动源排气污染防治办法》第九条、第十三条的规定，乙方在合同实施过程中使用的柴油动力移动源（柴油货车、非道路移动机械）必须符合低排放要求并已向生态环境部门申领绿色编码，在进入作业现场前须如实向甲方登记报备绿色编码，未申领绿色编码的柴油动力移动源不得进入作业现场施工。在作业现场发现有未申领绿色编码的柴油动力移动源或者未如实进行绿色编码报备的，认定乙方违约，按照本合同违约条款承担相应违约责任。</w:t>
      </w:r>
    </w:p>
    <w:p>
      <w:pPr>
        <w:pStyle w:val="3"/>
        <w:adjustRightInd w:val="0"/>
        <w:snapToGrid w:val="0"/>
        <w:spacing w:after="0" w:line="480" w:lineRule="atLeast"/>
        <w:ind w:firstLine="560" w:firstLineChars="200"/>
        <w:rPr>
          <w:rFonts w:ascii="仿宋_GB2312" w:hAnsi="仿宋_GB2312" w:eastAsia="仿宋_GB2312" w:cs="仿宋_GB2312"/>
          <w:sz w:val="28"/>
          <w:szCs w:val="28"/>
          <w:lang w:val="en-US" w:bidi="ar-SA"/>
        </w:rPr>
      </w:pPr>
      <w:r>
        <w:rPr>
          <w:rFonts w:hint="eastAsia" w:ascii="仿宋_GB2312" w:hAnsi="仿宋_GB2312" w:eastAsia="仿宋_GB2312" w:cs="仿宋_GB2312"/>
          <w:sz w:val="28"/>
          <w:szCs w:val="28"/>
          <w:lang w:val="en-US" w:bidi="ar-SA"/>
        </w:rPr>
        <w:t>7、乙方违反上述约定出现安全环保事故的，甲方可视情况没收全部或部分安全环保专项保证金。</w:t>
      </w:r>
    </w:p>
    <w:p>
      <w:pPr>
        <w:adjustRightInd w:val="0"/>
        <w:snapToGrid w:val="0"/>
        <w:spacing w:line="480" w:lineRule="atLeas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五、结算方式</w:t>
      </w:r>
    </w:p>
    <w:p>
      <w:pPr>
        <w:autoSpaceDE w:val="0"/>
        <w:autoSpaceDN w:val="0"/>
        <w:adjustRightInd w:val="0"/>
        <w:snapToGrid w:val="0"/>
        <w:spacing w:line="480" w:lineRule="atLeast"/>
        <w:ind w:firstLine="560"/>
        <w:rPr>
          <w:rFonts w:ascii="仿宋_GB2312" w:hAnsi="仿宋_GB2312" w:eastAsia="仿宋_GB2312" w:cs="仿宋_GB2312"/>
          <w:b/>
          <w:sz w:val="28"/>
          <w:szCs w:val="28"/>
        </w:rPr>
      </w:pPr>
      <w:r>
        <w:rPr>
          <w:rFonts w:hint="eastAsia" w:ascii="仿宋_GB2312" w:hAnsi="仿宋_GB2312" w:eastAsia="仿宋_GB2312" w:cs="仿宋_GB2312"/>
          <w:sz w:val="28"/>
          <w:szCs w:val="28"/>
        </w:rPr>
        <w:t>1.乙方按照拍卖文件规定在2022年</w:t>
      </w:r>
      <w:r>
        <w:rPr>
          <w:rFonts w:hint="eastAsia" w:ascii="仿宋_GB2312" w:hAnsi="仿宋_GB2312" w:eastAsia="仿宋_GB2312" w:cs="仿宋_GB2312"/>
          <w:sz w:val="28"/>
          <w:szCs w:val="28"/>
          <w:u w:val="single"/>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2</w:t>
      </w:r>
      <w:r>
        <w:rPr>
          <w:rFonts w:hint="eastAsia" w:ascii="仿宋_GB2312" w:hAnsi="仿宋_GB2312" w:eastAsia="仿宋_GB2312" w:cs="仿宋_GB2312"/>
          <w:sz w:val="28"/>
          <w:szCs w:val="28"/>
        </w:rPr>
        <w:t>日下午16:00前付清货款（账户：</w:t>
      </w:r>
      <w:r>
        <w:rPr>
          <w:rFonts w:hint="eastAsia" w:ascii="仿宋_GB2312" w:hAnsi="仿宋_GB2312" w:eastAsia="仿宋_GB2312" w:cs="仿宋_GB2312"/>
          <w:kern w:val="0"/>
          <w:sz w:val="28"/>
          <w:szCs w:val="28"/>
          <w:u w:val="single"/>
        </w:rPr>
        <w:t>绍兴市非税收入结算分户</w:t>
      </w:r>
      <w:r>
        <w:rPr>
          <w:rFonts w:hint="eastAsia" w:ascii="仿宋_GB2312" w:hAnsi="仿宋_GB2312" w:eastAsia="仿宋_GB2312" w:cs="仿宋_GB2312"/>
          <w:sz w:val="28"/>
          <w:szCs w:val="28"/>
        </w:rPr>
        <w:t>；开户行：</w:t>
      </w:r>
      <w:r>
        <w:rPr>
          <w:rFonts w:hint="eastAsia" w:ascii="仿宋_GB2312" w:hAnsi="仿宋_GB2312" w:eastAsia="仿宋_GB2312" w:cs="仿宋_GB2312"/>
          <w:sz w:val="28"/>
          <w:szCs w:val="28"/>
          <w:u w:val="single"/>
        </w:rPr>
        <w:t>工行绍兴市分行</w:t>
      </w:r>
      <w:r>
        <w:rPr>
          <w:rFonts w:hint="eastAsia" w:ascii="仿宋_GB2312" w:hAnsi="仿宋_GB2312" w:eastAsia="仿宋_GB2312" w:cs="仿宋_GB2312"/>
          <w:sz w:val="28"/>
          <w:szCs w:val="28"/>
        </w:rPr>
        <w:t>；账号：</w:t>
      </w:r>
      <w:r>
        <w:rPr>
          <w:rFonts w:hint="eastAsia" w:ascii="仿宋_GB2312" w:hAnsi="仿宋_GB2312" w:eastAsia="仿宋_GB2312" w:cs="仿宋_GB2312"/>
          <w:sz w:val="28"/>
          <w:szCs w:val="28"/>
          <w:u w:val="single"/>
        </w:rPr>
        <w:t>1211012029200057365</w:t>
      </w:r>
      <w:r>
        <w:rPr>
          <w:rFonts w:hint="eastAsia" w:ascii="仿宋_GB2312" w:hAnsi="仿宋_GB2312" w:eastAsia="仿宋_GB2312" w:cs="仿宋_GB2312"/>
          <w:sz w:val="28"/>
          <w:szCs w:val="28"/>
        </w:rPr>
        <w:t>）。</w:t>
      </w:r>
      <w:r>
        <w:rPr>
          <w:rFonts w:hint="eastAsia" w:ascii="仿宋_GB2312" w:hAnsi="仿宋_GB2312" w:eastAsia="仿宋_GB2312" w:cs="仿宋_GB2312"/>
          <w:bCs/>
          <w:sz w:val="28"/>
          <w:szCs w:val="28"/>
        </w:rPr>
        <w:t>货款按相关规定，开具浙江省非税收入统一票据，不提供增值税发票。</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2.乙方按照拍卖文件规定在2022年</w:t>
      </w:r>
      <w:r>
        <w:rPr>
          <w:rFonts w:hint="eastAsia" w:ascii="仿宋_GB2312" w:hAnsi="仿宋_GB2312" w:eastAsia="仿宋_GB2312" w:cs="仿宋_GB2312"/>
          <w:sz w:val="28"/>
          <w:szCs w:val="28"/>
          <w:u w:val="single"/>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2</w:t>
      </w:r>
      <w:r>
        <w:rPr>
          <w:rFonts w:hint="eastAsia" w:ascii="仿宋_GB2312" w:hAnsi="仿宋_GB2312" w:eastAsia="仿宋_GB2312" w:cs="仿宋_GB2312"/>
          <w:sz w:val="28"/>
          <w:szCs w:val="28"/>
        </w:rPr>
        <w:t>日下午16:00前须向甲方缴纳</w:t>
      </w:r>
      <w:r>
        <w:rPr>
          <w:rFonts w:hint="eastAsia" w:ascii="仿宋_GB2312" w:hAnsi="仿宋_GB2312" w:eastAsia="仿宋_GB2312" w:cs="仿宋_GB2312"/>
          <w:sz w:val="28"/>
          <w:szCs w:val="28"/>
          <w:u w:val="single"/>
        </w:rPr>
        <w:t xml:space="preserve"> 100</w:t>
      </w:r>
      <w:r>
        <w:rPr>
          <w:rFonts w:hint="eastAsia" w:ascii="仿宋_GB2312" w:hAnsi="仿宋_GB2312" w:eastAsia="仿宋_GB2312" w:cs="仿宋_GB2312"/>
          <w:sz w:val="28"/>
          <w:szCs w:val="28"/>
        </w:rPr>
        <w:t>万元的履约保证金</w:t>
      </w:r>
      <w:r>
        <w:rPr>
          <w:rFonts w:hint="eastAsia" w:ascii="仿宋" w:hAnsi="仿宋" w:eastAsia="仿宋" w:cs="仿宋"/>
          <w:sz w:val="28"/>
          <w:szCs w:val="28"/>
        </w:rPr>
        <w:t>及</w:t>
      </w:r>
      <w:r>
        <w:rPr>
          <w:rFonts w:hint="eastAsia" w:ascii="仿宋_GB2312" w:hAnsi="仿宋_GB2312" w:eastAsia="仿宋_GB2312" w:cs="仿宋_GB2312"/>
          <w:sz w:val="28"/>
          <w:szCs w:val="28"/>
          <w:u w:val="single"/>
        </w:rPr>
        <w:t>100</w:t>
      </w:r>
      <w:r>
        <w:rPr>
          <w:rFonts w:hint="eastAsia" w:ascii="仿宋_GB2312" w:hAnsi="仿宋_GB2312" w:eastAsia="仿宋_GB2312" w:cs="仿宋_GB2312"/>
          <w:sz w:val="28"/>
          <w:szCs w:val="28"/>
        </w:rPr>
        <w:t>万元安全环保专项保证金（账户：</w:t>
      </w:r>
      <w:r>
        <w:rPr>
          <w:rFonts w:hint="eastAsia" w:ascii="仿宋_GB2312" w:hAnsi="仿宋_GB2312" w:eastAsia="仿宋_GB2312" w:cs="仿宋_GB2312"/>
          <w:kern w:val="0"/>
          <w:sz w:val="28"/>
          <w:szCs w:val="28"/>
          <w:u w:val="single"/>
        </w:rPr>
        <w:t>绍兴市原水集团有限公司</w:t>
      </w:r>
      <w:r>
        <w:rPr>
          <w:rFonts w:hint="eastAsia" w:ascii="仿宋_GB2312" w:hAnsi="仿宋_GB2312" w:eastAsia="仿宋_GB2312" w:cs="仿宋_GB2312"/>
          <w:sz w:val="28"/>
          <w:szCs w:val="28"/>
        </w:rPr>
        <w:t>，开户行：</w:t>
      </w:r>
      <w:r>
        <w:rPr>
          <w:rFonts w:hint="eastAsia" w:ascii="仿宋_GB2312" w:hAnsi="仿宋_GB2312" w:eastAsia="仿宋_GB2312" w:cs="仿宋_GB2312"/>
          <w:sz w:val="28"/>
          <w:szCs w:val="28"/>
          <w:u w:val="single"/>
        </w:rPr>
        <w:t xml:space="preserve"> 绍兴银行营业部 </w:t>
      </w:r>
      <w:r>
        <w:rPr>
          <w:rFonts w:hint="eastAsia" w:ascii="仿宋_GB2312" w:hAnsi="仿宋_GB2312" w:eastAsia="仿宋_GB2312" w:cs="仿宋_GB2312"/>
          <w:sz w:val="28"/>
          <w:szCs w:val="28"/>
        </w:rPr>
        <w:t>，账号：</w:t>
      </w:r>
      <w:r>
        <w:rPr>
          <w:rFonts w:hint="eastAsia" w:ascii="仿宋_GB2312" w:hAnsi="仿宋_GB2312" w:eastAsia="仿宋_GB2312" w:cs="仿宋_GB2312"/>
          <w:sz w:val="28"/>
          <w:szCs w:val="28"/>
          <w:u w:val="single"/>
        </w:rPr>
        <w:t xml:space="preserve"> 2005874882000016 </w:t>
      </w:r>
      <w:r>
        <w:rPr>
          <w:rFonts w:hint="eastAsia" w:ascii="仿宋_GB2312" w:hAnsi="仿宋_GB2312" w:eastAsia="仿宋_GB2312" w:cs="仿宋_GB2312"/>
          <w:sz w:val="28"/>
          <w:szCs w:val="28"/>
        </w:rPr>
        <w:t>），合同履行完毕后且无任何争议、纠纷等事宜，经甲方现场验收无误后七个工作日内退还给乙方，履约保证金</w:t>
      </w:r>
      <w:r>
        <w:rPr>
          <w:rFonts w:hint="eastAsia" w:ascii="仿宋" w:hAnsi="仿宋" w:eastAsia="仿宋" w:cs="仿宋"/>
          <w:sz w:val="28"/>
          <w:szCs w:val="28"/>
        </w:rPr>
        <w:t>及安全环保专项保证金均</w:t>
      </w:r>
      <w:r>
        <w:rPr>
          <w:rFonts w:hint="eastAsia" w:ascii="仿宋_GB2312" w:hAnsi="仿宋_GB2312" w:eastAsia="仿宋_GB2312" w:cs="仿宋_GB2312"/>
          <w:sz w:val="28"/>
          <w:szCs w:val="28"/>
        </w:rPr>
        <w:t>不计息。如出现乙方违反本合同的任何情形，甲方将按合同相关条款扣除或不予返还履约保证金</w:t>
      </w:r>
      <w:r>
        <w:rPr>
          <w:rFonts w:hint="eastAsia" w:ascii="仿宋" w:hAnsi="仿宋" w:eastAsia="仿宋" w:cs="仿宋"/>
          <w:sz w:val="28"/>
          <w:szCs w:val="28"/>
        </w:rPr>
        <w:t>及安全环保专项保证金</w:t>
      </w:r>
      <w:r>
        <w:rPr>
          <w:rFonts w:hint="eastAsia" w:ascii="仿宋_GB2312" w:hAnsi="仿宋_GB2312" w:eastAsia="仿宋_GB2312" w:cs="仿宋_GB2312"/>
          <w:sz w:val="28"/>
          <w:szCs w:val="28"/>
        </w:rPr>
        <w:t>，并可追究乙方违约责任。</w:t>
      </w:r>
    </w:p>
    <w:p>
      <w:pPr>
        <w:adjustRightInd w:val="0"/>
        <w:snapToGrid w:val="0"/>
        <w:spacing w:line="480" w:lineRule="atLeas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六、违约责任</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1.因发生不可抗力致使不能实现合同目的，双方均可解除合同。</w:t>
      </w:r>
      <w:r>
        <w:rPr>
          <w:rFonts w:hint="eastAsia" w:ascii="仿宋_GB2312" w:hAnsi="仿宋_GB2312" w:eastAsia="仿宋_GB2312" w:cs="仿宋_GB2312"/>
          <w:sz w:val="28"/>
          <w:szCs w:val="28"/>
          <w:shd w:val="clear" w:color="auto" w:fill="FFFFFF"/>
        </w:rPr>
        <w:t>合同解</w:t>
      </w:r>
      <w:r>
        <w:rPr>
          <w:rFonts w:hint="eastAsia" w:ascii="仿宋_GB2312" w:hAnsi="仿宋_GB2312" w:eastAsia="仿宋_GB2312" w:cs="仿宋_GB2312"/>
          <w:sz w:val="28"/>
          <w:szCs w:val="28"/>
        </w:rPr>
        <w:t>除后，尚未外运的砂石统料终止外运，已经外运的砂石统料按合同价格予以结算，履约保证金在结算完成后退还。</w:t>
      </w:r>
    </w:p>
    <w:p>
      <w:pPr>
        <w:pStyle w:val="3"/>
        <w:adjustRightInd w:val="0"/>
        <w:snapToGrid w:val="0"/>
        <w:spacing w:after="0" w:line="480" w:lineRule="atLeast"/>
        <w:ind w:firstLineChars="200"/>
        <w:rPr>
          <w:rFonts w:ascii="仿宋_GB2312" w:hAnsi="仿宋_GB2312" w:eastAsia="仿宋_GB2312" w:cs="仿宋_GB2312"/>
          <w:sz w:val="28"/>
          <w:szCs w:val="28"/>
          <w:lang w:val="en-US"/>
        </w:rPr>
      </w:pPr>
      <w:r>
        <w:rPr>
          <w:rFonts w:hint="eastAsia" w:ascii="仿宋_GB2312" w:hAnsi="仿宋_GB2312" w:eastAsia="仿宋_GB2312" w:cs="仿宋_GB2312"/>
          <w:lang w:val="en-US"/>
        </w:rPr>
        <w:t xml:space="preserve">  </w:t>
      </w:r>
      <w:r>
        <w:rPr>
          <w:rFonts w:hint="eastAsia" w:ascii="仿宋_GB2312" w:hAnsi="仿宋_GB2312" w:eastAsia="仿宋_GB2312" w:cs="仿宋_GB2312"/>
          <w:sz w:val="28"/>
          <w:szCs w:val="28"/>
          <w:lang w:val="en-US"/>
        </w:rPr>
        <w:t xml:space="preserve"> 2</w:t>
      </w:r>
      <w:r>
        <w:rPr>
          <w:rFonts w:hint="eastAsia" w:ascii="仿宋_GB2312" w:hAnsi="仿宋_GB2312" w:eastAsia="仿宋_GB2312" w:cs="仿宋_GB2312"/>
          <w:sz w:val="28"/>
          <w:szCs w:val="28"/>
        </w:rPr>
        <w:t>.下列情况下，甲方有权解除合同，尚未提取完毕的砂石统料所有权归甲方所有并处置，履约保证金不予返还</w:t>
      </w:r>
      <w:r>
        <w:rPr>
          <w:rFonts w:hint="eastAsia" w:ascii="仿宋_GB2312" w:hAnsi="仿宋_GB2312" w:eastAsia="仿宋_GB2312" w:cs="仿宋_GB2312"/>
          <w:sz w:val="28"/>
          <w:szCs w:val="28"/>
          <w:lang w:val="en-US"/>
        </w:rPr>
        <w:t>：</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（1）乙方擅自将合同标的转包、转让；</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（2）乙方以质量等任何理由拒绝提货；</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（3）因乙方原因，在提货期限内乙方提取砂石统料总量未达到200000m³且逾期超过30个日历天仍未完成的；</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（4）其他因乙方原因导致的合同无法继续履行。</w:t>
      </w:r>
    </w:p>
    <w:p>
      <w:pPr>
        <w:pStyle w:val="2"/>
        <w:adjustRightInd w:val="0"/>
        <w:snapToGrid w:val="0"/>
        <w:spacing w:line="480" w:lineRule="atLeast"/>
        <w:ind w:firstLine="560" w:firstLineChars="200"/>
        <w:rPr>
          <w:rFonts w:eastAsia="仿宋_GB2312"/>
          <w:lang w:val="en-US"/>
        </w:rPr>
      </w:pPr>
      <w:r>
        <w:rPr>
          <w:rFonts w:hint="eastAsia" w:ascii="仿宋_GB2312" w:hAnsi="仿宋_GB2312" w:eastAsia="仿宋_GB2312" w:cs="仿宋_GB2312"/>
          <w:sz w:val="28"/>
          <w:szCs w:val="28"/>
          <w:lang w:val="en-US"/>
        </w:rPr>
        <w:t>3.若因解除合同而发生退还合同价款、履约保证金或安全环保专项保证金等情形的，退还的合同价款、履约保证金及安全环保专项保证金等均不计息。</w:t>
      </w:r>
    </w:p>
    <w:p>
      <w:pPr>
        <w:adjustRightInd w:val="0"/>
        <w:snapToGrid w:val="0"/>
        <w:spacing w:line="480" w:lineRule="atLeast"/>
        <w:ind w:firstLine="560" w:firstLineChars="200"/>
        <w:rPr>
          <w:rFonts w:ascii="仿宋_GB2312" w:hAnsi="仿宋_GB2312" w:eastAsia="仿宋_GB2312" w:cs="仿宋_GB2312"/>
          <w:sz w:val="28"/>
          <w:szCs w:val="28"/>
          <w:highlight w:val="red"/>
        </w:rPr>
      </w:pPr>
      <w:r>
        <w:rPr>
          <w:rFonts w:hint="eastAsia" w:ascii="仿宋_GB2312" w:hAnsi="仿宋_GB2312" w:eastAsia="仿宋_GB2312" w:cs="仿宋_GB2312"/>
          <w:sz w:val="28"/>
          <w:szCs w:val="28"/>
        </w:rPr>
        <w:t xml:space="preserve"> 4.因不可抗力或其他非乙方原因造成无法提货或作业及装运进度受到严重影响的，由乙方申请并提供合理证明，经甲方核实，可以顺延提货期限。</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5.乙方若有违反《廉洁承诺》约定的相关行为的，由乙方承担由此造成的一切损失，甲方有权视情况在乙方缴纳的履约保证金中扣除</w:t>
      </w:r>
      <w:r>
        <w:rPr>
          <w:rFonts w:hint="eastAsia" w:ascii="仿宋_GB2312" w:hAnsi="仿宋_GB2312" w:eastAsia="仿宋_GB2312" w:cs="仿宋_GB2312"/>
          <w:sz w:val="28"/>
          <w:szCs w:val="28"/>
          <w:u w:val="single"/>
        </w:rPr>
        <w:t>5万元以上50万元以下</w:t>
      </w:r>
      <w:r>
        <w:rPr>
          <w:rFonts w:hint="eastAsia" w:ascii="仿宋_GB2312" w:hAnsi="仿宋_GB2312" w:eastAsia="仿宋_GB2312" w:cs="仿宋_GB2312"/>
          <w:sz w:val="28"/>
          <w:szCs w:val="28"/>
        </w:rPr>
        <w:t>的违约金。</w:t>
      </w:r>
    </w:p>
    <w:p>
      <w:pPr>
        <w:adjustRightInd w:val="0"/>
        <w:snapToGrid w:val="0"/>
        <w:spacing w:line="480" w:lineRule="atLeas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七、通知与送达</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1.甲乙双方约定下列联系电话或送达地址作为履行本合同过程中涉及相关事务的通知方式：</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甲方：绍兴市原水集团有限公司</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送达地址：浙江省绍兴市越城区华滨路102号2-3层</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联络人：</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联系电话： </w:t>
      </w:r>
    </w:p>
    <w:p>
      <w:pPr>
        <w:adjustRightInd w:val="0"/>
        <w:snapToGrid w:val="0"/>
        <w:spacing w:line="480" w:lineRule="atLeast"/>
        <w:ind w:firstLine="560" w:firstLineChars="200"/>
        <w:rPr>
          <w:rFonts w:ascii="仿宋_GB2312" w:hAnsi="仿宋_GB2312" w:eastAsia="仿宋_GB2312" w:cs="仿宋_GB2312"/>
          <w:sz w:val="28"/>
          <w:szCs w:val="28"/>
        </w:rPr>
      </w:pP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乙方：</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送达地址：</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联络人：</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联系电话： </w:t>
      </w:r>
    </w:p>
    <w:p>
      <w:pPr>
        <w:pStyle w:val="8"/>
        <w:adjustRightInd w:val="0"/>
        <w:snapToGrid w:val="0"/>
        <w:spacing w:before="0" w:beforeAutospacing="0" w:after="0" w:afterAutospacing="0" w:line="480" w:lineRule="atLeast"/>
        <w:ind w:firstLine="560" w:firstLineChars="200"/>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任何一方向对方发出的有关本合同的通知，均应以上述约定</w:t>
      </w:r>
      <w:r>
        <w:rPr>
          <w:rFonts w:hint="eastAsia" w:ascii="仿宋_GB2312" w:hAnsi="仿宋_GB2312" w:eastAsia="仿宋_GB2312" w:cs="仿宋_GB2312"/>
          <w:sz w:val="28"/>
          <w:szCs w:val="28"/>
        </w:rPr>
        <w:t>联系电话或</w:t>
      </w:r>
      <w:r>
        <w:rPr>
          <w:rFonts w:hint="eastAsia" w:ascii="仿宋_GB2312" w:hAnsi="仿宋_GB2312" w:eastAsia="仿宋_GB2312" w:cs="仿宋_GB2312"/>
          <w:kern w:val="2"/>
          <w:sz w:val="28"/>
          <w:szCs w:val="28"/>
        </w:rPr>
        <w:t>送达方式为准，否则无效。任何一方上述任一送达方式发生变更的，变更方应提前3个工作日按本合同中约定的送达地址书面通知对方。否则，由此造成的损失一律由变更方承担。</w:t>
      </w:r>
    </w:p>
    <w:p>
      <w:pPr>
        <w:numPr>
          <w:ilvl w:val="255"/>
          <w:numId w:val="0"/>
        </w:numPr>
        <w:adjustRightInd w:val="0"/>
        <w:snapToGrid w:val="0"/>
        <w:spacing w:line="480" w:lineRule="atLeas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t>2.若通知或信件是书面的，按本合同约定的送达地址发送。通知或信件应由专人送交或通过邮政局传递。派人送交，签收时生效；如邮政局传送，则于送达时视为正式送交。更改地址要在5日之内以书面通知对方，如因一方未通知地址变更导致送达不能或约定地址无人接收通知或信件的，则在一方向约定地址寄送通知或信件之日起第5日视为送达。</w:t>
      </w:r>
    </w:p>
    <w:p>
      <w:pPr>
        <w:adjustRightInd w:val="0"/>
        <w:snapToGrid w:val="0"/>
        <w:spacing w:line="480" w:lineRule="atLeas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八、其他约定</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1.拍卖规则条款作为合同的组成部分，与合同条款效力一致。</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2.本合同在履行过程中发生的争议，由双方当事人协商解决；协商或调解不成时，任意一方均可向甲方所在地人民法院提起诉讼。</w:t>
      </w:r>
    </w:p>
    <w:p>
      <w:pPr>
        <w:pStyle w:val="3"/>
        <w:adjustRightInd w:val="0"/>
        <w:snapToGrid w:val="0"/>
        <w:spacing w:after="0"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3</w:t>
      </w:r>
      <w:r>
        <w:rPr>
          <w:rFonts w:hint="eastAsia" w:ascii="仿宋_GB2312" w:hAnsi="仿宋_GB2312" w:eastAsia="仿宋_GB2312" w:cs="仿宋_GB2312"/>
          <w:sz w:val="28"/>
          <w:szCs w:val="28"/>
        </w:rPr>
        <w:t>.本合同的附件（</w:t>
      </w:r>
      <w:r>
        <w:rPr>
          <w:rFonts w:hint="eastAsia" w:ascii="仿宋_GB2312" w:hAnsi="仿宋_GB2312" w:eastAsia="仿宋_GB2312" w:cs="仿宋_GB2312"/>
          <w:sz w:val="28"/>
          <w:szCs w:val="28"/>
          <w:lang w:val="en-US"/>
        </w:rPr>
        <w:t>包括并不限于</w:t>
      </w:r>
      <w:r>
        <w:rPr>
          <w:rFonts w:hint="eastAsia" w:ascii="仿宋_GB2312" w:hAnsi="仿宋_GB2312" w:eastAsia="仿宋_GB2312" w:cs="仿宋_GB2312"/>
          <w:kern w:val="0"/>
          <w:sz w:val="28"/>
          <w:szCs w:val="28"/>
          <w:lang w:val="en-US"/>
        </w:rPr>
        <w:t>绍兴市炬鑫勘测规划设计</w:t>
      </w:r>
      <w:r>
        <w:rPr>
          <w:rFonts w:hint="eastAsia" w:ascii="仿宋_GB2312" w:hAnsi="仿宋_GB2312" w:eastAsia="仿宋_GB2312" w:cs="仿宋_GB2312"/>
          <w:sz w:val="28"/>
          <w:szCs w:val="28"/>
          <w:lang w:val="en-US"/>
        </w:rPr>
        <w:t>有限公司出具的</w:t>
      </w:r>
      <w:r>
        <w:rPr>
          <w:rFonts w:hint="eastAsia" w:ascii="仿宋_GB2312" w:hAnsi="仿宋_GB2312" w:eastAsia="仿宋_GB2312" w:cs="仿宋_GB2312"/>
          <w:kern w:val="0"/>
          <w:sz w:val="28"/>
          <w:szCs w:val="28"/>
          <w:lang w:val="en-US"/>
        </w:rPr>
        <w:t>首测方量测量报告和</w:t>
      </w:r>
      <w:r>
        <w:rPr>
          <w:rFonts w:hint="eastAsia" w:ascii="仿宋_GB2312" w:hAnsi="仿宋_GB2312" w:eastAsia="仿宋_GB2312" w:cs="仿宋_GB2312"/>
          <w:kern w:val="0"/>
          <w:sz w:val="28"/>
          <w:szCs w:val="28"/>
          <w:lang w:val="en-US" w:bidi="ar-SA"/>
        </w:rPr>
        <w:t>结算方量测量</w:t>
      </w:r>
      <w:r>
        <w:rPr>
          <w:rFonts w:hint="eastAsia" w:ascii="仿宋_GB2312" w:hAnsi="仿宋_GB2312" w:eastAsia="仿宋_GB2312" w:cs="仿宋_GB2312"/>
          <w:kern w:val="0"/>
          <w:sz w:val="28"/>
          <w:szCs w:val="28"/>
          <w:lang w:val="en-US"/>
        </w:rPr>
        <w:t>报告</w:t>
      </w:r>
      <w:r>
        <w:rPr>
          <w:rFonts w:hint="eastAsia" w:ascii="仿宋_GB2312" w:hAnsi="仿宋_GB2312" w:eastAsia="仿宋_GB2312" w:cs="仿宋_GB2312"/>
          <w:kern w:val="0"/>
          <w:sz w:val="28"/>
          <w:szCs w:val="28"/>
          <w:lang w:val="en-US" w:bidi="ar-SA"/>
        </w:rPr>
        <w:t>、补充方量测量</w:t>
      </w:r>
      <w:r>
        <w:rPr>
          <w:rFonts w:hint="eastAsia" w:ascii="仿宋_GB2312" w:hAnsi="仿宋_GB2312" w:eastAsia="仿宋_GB2312" w:cs="仿宋_GB2312"/>
          <w:kern w:val="0"/>
          <w:sz w:val="28"/>
          <w:szCs w:val="28"/>
          <w:lang w:val="en-US"/>
        </w:rPr>
        <w:t>报告）</w:t>
      </w:r>
      <w:r>
        <w:rPr>
          <w:rFonts w:hint="eastAsia" w:ascii="仿宋_GB2312" w:hAnsi="仿宋_GB2312" w:eastAsia="仿宋_GB2312" w:cs="仿宋_GB2312"/>
          <w:sz w:val="28"/>
          <w:szCs w:val="28"/>
        </w:rPr>
        <w:t>或补充</w:t>
      </w:r>
      <w:r>
        <w:rPr>
          <w:rFonts w:hint="eastAsia" w:ascii="仿宋_GB2312" w:hAnsi="仿宋_GB2312" w:eastAsia="仿宋_GB2312" w:cs="仿宋_GB2312"/>
          <w:sz w:val="28"/>
          <w:szCs w:val="28"/>
          <w:lang w:val="en-US"/>
        </w:rPr>
        <w:t>合同，</w:t>
      </w:r>
      <w:r>
        <w:rPr>
          <w:rFonts w:hint="eastAsia" w:ascii="仿宋_GB2312" w:hAnsi="仿宋_GB2312" w:eastAsia="仿宋_GB2312" w:cs="仿宋_GB2312"/>
          <w:sz w:val="28"/>
          <w:szCs w:val="28"/>
        </w:rPr>
        <w:t>与本合同具有同等法律效力，传真件或扫描件与原件具有同等法律效力。</w:t>
      </w:r>
    </w:p>
    <w:p>
      <w:pPr>
        <w:adjustRightInd w:val="0"/>
        <w:snapToGrid w:val="0"/>
        <w:spacing w:line="48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4.本合同经甲乙双方签字盖章后生效，合同一式四份，甲乙双方各执两份。</w:t>
      </w:r>
    </w:p>
    <w:p>
      <w:pPr>
        <w:pStyle w:val="3"/>
        <w:adjustRightInd w:val="0"/>
        <w:snapToGrid w:val="0"/>
        <w:spacing w:after="0" w:line="480" w:lineRule="atLeast"/>
        <w:ind w:firstLine="0" w:firstLineChars="0"/>
        <w:rPr>
          <w:rFonts w:ascii="仿宋_GB2312" w:hAnsi="仿宋_GB2312" w:eastAsia="仿宋_GB2312" w:cs="仿宋_GB2312"/>
        </w:rPr>
      </w:pPr>
    </w:p>
    <w:p>
      <w:pPr>
        <w:adjustRightInd w:val="0"/>
        <w:snapToGrid w:val="0"/>
        <w:spacing w:line="480" w:lineRule="atLeast"/>
        <w:ind w:left="6020" w:hanging="6020" w:hangingChars="21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甲方：（盖章）                       乙方：（盖章）</w:t>
      </w:r>
    </w:p>
    <w:p>
      <w:pPr>
        <w:adjustRightInd w:val="0"/>
        <w:snapToGrid w:val="0"/>
        <w:spacing w:line="480" w:lineRule="atLeast"/>
        <w:ind w:left="6020" w:hanging="6020" w:hangingChars="2150"/>
        <w:rPr>
          <w:rFonts w:ascii="仿宋_GB2312" w:hAnsi="仿宋_GB2312" w:eastAsia="仿宋_GB2312" w:cs="仿宋_GB2312"/>
          <w:kern w:val="0"/>
          <w:sz w:val="28"/>
          <w:szCs w:val="28"/>
        </w:rPr>
      </w:pPr>
    </w:p>
    <w:p>
      <w:pPr>
        <w:adjustRightInd w:val="0"/>
        <w:snapToGrid w:val="0"/>
        <w:spacing w:line="480" w:lineRule="atLeast"/>
        <w:ind w:left="6020" w:hanging="6020" w:hangingChars="215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法定代表人或委托代理人               法定代表人或委托代理人</w:t>
      </w:r>
    </w:p>
    <w:p>
      <w:pPr>
        <w:adjustRightInd w:val="0"/>
        <w:snapToGrid w:val="0"/>
        <w:spacing w:line="48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（签字</w:t>
      </w:r>
      <w:r>
        <w:rPr>
          <w:rFonts w:hint="eastAsia" w:ascii="仿宋_GB2312" w:hAnsi="仿宋_GB2312" w:eastAsia="仿宋_GB2312" w:cs="仿宋_GB2312"/>
          <w:kern w:val="0"/>
          <w:sz w:val="28"/>
          <w:szCs w:val="28"/>
        </w:rPr>
        <w:t>盖章</w:t>
      </w:r>
      <w:r>
        <w:rPr>
          <w:rFonts w:hint="eastAsia" w:ascii="仿宋_GB2312" w:hAnsi="仿宋_GB2312" w:eastAsia="仿宋_GB2312" w:cs="仿宋_GB2312"/>
          <w:sz w:val="28"/>
          <w:szCs w:val="28"/>
        </w:rPr>
        <w:t xml:space="preserve">）：                       （签字盖章）： </w:t>
      </w:r>
    </w:p>
    <w:p>
      <w:pPr>
        <w:pStyle w:val="5"/>
        <w:adjustRightInd w:val="0"/>
        <w:snapToGrid w:val="0"/>
        <w:spacing w:line="480" w:lineRule="atLeast"/>
        <w:ind w:left="0" w:leftChars="0" w:right="0" w:rightChars="0" w:firstLine="0" w:firstLineChars="0"/>
        <w:rPr>
          <w:rFonts w:ascii="仿宋_GB2312" w:hAnsi="仿宋_GB2312" w:eastAsia="仿宋_GB2312" w:cs="仿宋_GB2312"/>
          <w:sz w:val="28"/>
          <w:szCs w:val="28"/>
        </w:rPr>
      </w:pPr>
    </w:p>
    <w:p>
      <w:pPr>
        <w:pStyle w:val="5"/>
        <w:adjustRightInd w:val="0"/>
        <w:snapToGrid w:val="0"/>
        <w:spacing w:line="480" w:lineRule="atLeast"/>
        <w:ind w:left="0" w:leftChars="0" w:right="0" w:rightChars="0" w:firstLine="0" w:firstLineChars="0"/>
        <w:rPr>
          <w:rFonts w:ascii="仿宋_GB2312" w:hAnsi="仿宋_GB2312" w:eastAsia="仿宋_GB2312" w:cs="仿宋_GB2312"/>
          <w:sz w:val="28"/>
          <w:szCs w:val="28"/>
        </w:rPr>
      </w:pPr>
    </w:p>
    <w:p>
      <w:pPr>
        <w:pStyle w:val="4"/>
        <w:adjustRightInd w:val="0"/>
        <w:snapToGrid w:val="0"/>
        <w:spacing w:line="480" w:lineRule="atLeast"/>
        <w:jc w:val="right"/>
        <w:rPr>
          <w:rFonts w:hint="default" w:ascii="仿宋_GB2312" w:hAnsi="仿宋_GB2312" w:eastAsia="仿宋_GB2312" w:cs="仿宋_GB2312"/>
          <w:sz w:val="28"/>
          <w:szCs w:val="28"/>
        </w:rPr>
      </w:pPr>
      <w:r>
        <w:rPr>
          <w:rFonts w:ascii="仿宋_GB2312" w:hAnsi="仿宋_GB2312" w:eastAsia="仿宋_GB2312" w:cs="仿宋_GB2312"/>
          <w:sz w:val="28"/>
          <w:szCs w:val="28"/>
        </w:rPr>
        <w:t>年    月    日</w:t>
      </w:r>
    </w:p>
    <w:p>
      <w:pPr>
        <w:adjustRightInd w:val="0"/>
        <w:snapToGrid w:val="0"/>
        <w:spacing w:before="240" w:after="240" w:line="480" w:lineRule="atLeast"/>
        <w:jc w:val="both"/>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0.35pt;width:4.5pt;mso-position-horizontal:center;mso-position-horizontal-relative:margin;mso-wrap-style:none;z-index:251659264;mso-width-relative:page;mso-height-relative:page;" filled="f" stroked="f" coordsize="21600,21600" o:gfxdata="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qnjDbQAAAAAgEAAA8AAAAAAAAAAQAgAAAAIgAAAGRy&#10;cy9kb3ducmV2LnhtbFBLAQIUABQAAAAIAIdO4kD9qcjQ1AEAAJ8DAAAOAAAAAAAAAAEAIAAAAB8B&#10;AABkcnMvZTJvRG9jLnhtbFBLBQYAAAAABgAGAFkBAABlBQAAAAA=&#10;">
          <v:path/>
          <v:fill on="f" focussize="0,0"/>
          <v:stroke on="f" weight="0.5pt"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U2ODg0MjAyMjlmNjhlYzFmNjM4YTcwODZlODIzZjgifQ=="/>
  </w:docVars>
  <w:rsids>
    <w:rsidRoot w:val="004C4E85"/>
    <w:rsid w:val="000A1869"/>
    <w:rsid w:val="000B0383"/>
    <w:rsid w:val="000C722B"/>
    <w:rsid w:val="00187DCF"/>
    <w:rsid w:val="001E3182"/>
    <w:rsid w:val="00291CB6"/>
    <w:rsid w:val="003D5936"/>
    <w:rsid w:val="003F7BCA"/>
    <w:rsid w:val="00460CE5"/>
    <w:rsid w:val="00491BC2"/>
    <w:rsid w:val="004C4E85"/>
    <w:rsid w:val="00557C99"/>
    <w:rsid w:val="005D60CE"/>
    <w:rsid w:val="00605BAF"/>
    <w:rsid w:val="006C3EBE"/>
    <w:rsid w:val="006D336C"/>
    <w:rsid w:val="006F67FE"/>
    <w:rsid w:val="00716E38"/>
    <w:rsid w:val="0079297E"/>
    <w:rsid w:val="007A148B"/>
    <w:rsid w:val="007A4DE2"/>
    <w:rsid w:val="007B77F1"/>
    <w:rsid w:val="007F587D"/>
    <w:rsid w:val="00857A00"/>
    <w:rsid w:val="008764AE"/>
    <w:rsid w:val="009256C1"/>
    <w:rsid w:val="0099443D"/>
    <w:rsid w:val="00A522FD"/>
    <w:rsid w:val="00AA3F63"/>
    <w:rsid w:val="00AF6313"/>
    <w:rsid w:val="00B34381"/>
    <w:rsid w:val="00B64BB1"/>
    <w:rsid w:val="00C734D0"/>
    <w:rsid w:val="00CA3548"/>
    <w:rsid w:val="00D743B5"/>
    <w:rsid w:val="00DA7D8A"/>
    <w:rsid w:val="00EB7711"/>
    <w:rsid w:val="00ED1A85"/>
    <w:rsid w:val="00F6267E"/>
    <w:rsid w:val="00FF2A5E"/>
    <w:rsid w:val="01027CC8"/>
    <w:rsid w:val="011C626C"/>
    <w:rsid w:val="0133706F"/>
    <w:rsid w:val="01AA6723"/>
    <w:rsid w:val="01BB4CF6"/>
    <w:rsid w:val="01D32DCE"/>
    <w:rsid w:val="01D37CAB"/>
    <w:rsid w:val="01D76FF5"/>
    <w:rsid w:val="01FD5BC4"/>
    <w:rsid w:val="01FE0D50"/>
    <w:rsid w:val="0204702E"/>
    <w:rsid w:val="02277DB7"/>
    <w:rsid w:val="025F4662"/>
    <w:rsid w:val="027C4156"/>
    <w:rsid w:val="029C3B08"/>
    <w:rsid w:val="02C575CD"/>
    <w:rsid w:val="02CE3596"/>
    <w:rsid w:val="02D91568"/>
    <w:rsid w:val="02EA6416"/>
    <w:rsid w:val="03232ABF"/>
    <w:rsid w:val="0332621A"/>
    <w:rsid w:val="0338092F"/>
    <w:rsid w:val="03A8028B"/>
    <w:rsid w:val="04043B6B"/>
    <w:rsid w:val="044E498E"/>
    <w:rsid w:val="04581CB1"/>
    <w:rsid w:val="045845E5"/>
    <w:rsid w:val="04756450"/>
    <w:rsid w:val="047676AE"/>
    <w:rsid w:val="047828C4"/>
    <w:rsid w:val="048B3E34"/>
    <w:rsid w:val="04B1269F"/>
    <w:rsid w:val="04DC4077"/>
    <w:rsid w:val="04F077FB"/>
    <w:rsid w:val="053B7608"/>
    <w:rsid w:val="054418A4"/>
    <w:rsid w:val="056326BB"/>
    <w:rsid w:val="05971CB3"/>
    <w:rsid w:val="05F872A7"/>
    <w:rsid w:val="062215F7"/>
    <w:rsid w:val="06306995"/>
    <w:rsid w:val="06FC125F"/>
    <w:rsid w:val="0708351A"/>
    <w:rsid w:val="070B4DB8"/>
    <w:rsid w:val="070E482B"/>
    <w:rsid w:val="0710575B"/>
    <w:rsid w:val="07944BFB"/>
    <w:rsid w:val="07C6165D"/>
    <w:rsid w:val="086745C4"/>
    <w:rsid w:val="089C7B43"/>
    <w:rsid w:val="089F7389"/>
    <w:rsid w:val="08A70CB1"/>
    <w:rsid w:val="08B01E51"/>
    <w:rsid w:val="08D13DE0"/>
    <w:rsid w:val="09BB0A53"/>
    <w:rsid w:val="09D55FA1"/>
    <w:rsid w:val="0A493D4E"/>
    <w:rsid w:val="0A5151D8"/>
    <w:rsid w:val="0A587EC1"/>
    <w:rsid w:val="0A5C592B"/>
    <w:rsid w:val="0A7B6587"/>
    <w:rsid w:val="0A892906"/>
    <w:rsid w:val="0ABA6D3B"/>
    <w:rsid w:val="0AC54C82"/>
    <w:rsid w:val="0ACC485F"/>
    <w:rsid w:val="0B024724"/>
    <w:rsid w:val="0B3568A8"/>
    <w:rsid w:val="0B5324AC"/>
    <w:rsid w:val="0B751FAC"/>
    <w:rsid w:val="0B861C99"/>
    <w:rsid w:val="0B907BB3"/>
    <w:rsid w:val="0BB36AE2"/>
    <w:rsid w:val="0BE65140"/>
    <w:rsid w:val="0C18486F"/>
    <w:rsid w:val="0C324FBA"/>
    <w:rsid w:val="0C7D0506"/>
    <w:rsid w:val="0CA56CAD"/>
    <w:rsid w:val="0CD232A1"/>
    <w:rsid w:val="0CEE0342"/>
    <w:rsid w:val="0CFA68BB"/>
    <w:rsid w:val="0D0965F9"/>
    <w:rsid w:val="0D1A5202"/>
    <w:rsid w:val="0D4258E7"/>
    <w:rsid w:val="0D5101C4"/>
    <w:rsid w:val="0D686E2A"/>
    <w:rsid w:val="0DE409BC"/>
    <w:rsid w:val="0E0A401C"/>
    <w:rsid w:val="0E250E55"/>
    <w:rsid w:val="0E306947"/>
    <w:rsid w:val="0EE637C0"/>
    <w:rsid w:val="0EEB5186"/>
    <w:rsid w:val="0F2C6214"/>
    <w:rsid w:val="0F6239E3"/>
    <w:rsid w:val="0F695D1D"/>
    <w:rsid w:val="0F7F6E1B"/>
    <w:rsid w:val="0FCE728A"/>
    <w:rsid w:val="0FE819E9"/>
    <w:rsid w:val="1031653B"/>
    <w:rsid w:val="104C1B5D"/>
    <w:rsid w:val="10606CC9"/>
    <w:rsid w:val="109220A6"/>
    <w:rsid w:val="10E75640"/>
    <w:rsid w:val="10EA2A09"/>
    <w:rsid w:val="10EE5F33"/>
    <w:rsid w:val="10FB623C"/>
    <w:rsid w:val="11023AEE"/>
    <w:rsid w:val="110B3671"/>
    <w:rsid w:val="115744BC"/>
    <w:rsid w:val="11A034DF"/>
    <w:rsid w:val="11B3403C"/>
    <w:rsid w:val="11D53671"/>
    <w:rsid w:val="11EE4603"/>
    <w:rsid w:val="11F56D91"/>
    <w:rsid w:val="120D4074"/>
    <w:rsid w:val="12205734"/>
    <w:rsid w:val="12664571"/>
    <w:rsid w:val="12916351"/>
    <w:rsid w:val="129547B0"/>
    <w:rsid w:val="12E967D9"/>
    <w:rsid w:val="1305004B"/>
    <w:rsid w:val="1353104E"/>
    <w:rsid w:val="136872C9"/>
    <w:rsid w:val="13A857E6"/>
    <w:rsid w:val="142E381C"/>
    <w:rsid w:val="146B2F00"/>
    <w:rsid w:val="149A6190"/>
    <w:rsid w:val="14C172D3"/>
    <w:rsid w:val="14E8268A"/>
    <w:rsid w:val="15064E11"/>
    <w:rsid w:val="15134D13"/>
    <w:rsid w:val="15520875"/>
    <w:rsid w:val="15537942"/>
    <w:rsid w:val="15785D0F"/>
    <w:rsid w:val="15A36BD1"/>
    <w:rsid w:val="15B900D5"/>
    <w:rsid w:val="15C301DF"/>
    <w:rsid w:val="15C86BF9"/>
    <w:rsid w:val="15E433A4"/>
    <w:rsid w:val="160B6B83"/>
    <w:rsid w:val="16226043"/>
    <w:rsid w:val="162E3290"/>
    <w:rsid w:val="16744F33"/>
    <w:rsid w:val="16915A53"/>
    <w:rsid w:val="16962DEB"/>
    <w:rsid w:val="16CD4493"/>
    <w:rsid w:val="16EE19BB"/>
    <w:rsid w:val="17022BD8"/>
    <w:rsid w:val="172A6C08"/>
    <w:rsid w:val="173A4AD6"/>
    <w:rsid w:val="173B2B18"/>
    <w:rsid w:val="17411BFE"/>
    <w:rsid w:val="174C6450"/>
    <w:rsid w:val="1779567C"/>
    <w:rsid w:val="17A60844"/>
    <w:rsid w:val="18107D3D"/>
    <w:rsid w:val="18820657"/>
    <w:rsid w:val="189B14F6"/>
    <w:rsid w:val="18A26018"/>
    <w:rsid w:val="18C87B7E"/>
    <w:rsid w:val="191E6E44"/>
    <w:rsid w:val="19376AA4"/>
    <w:rsid w:val="194C4063"/>
    <w:rsid w:val="19F76D38"/>
    <w:rsid w:val="1AA42DA0"/>
    <w:rsid w:val="1B4D1683"/>
    <w:rsid w:val="1B52406E"/>
    <w:rsid w:val="1B9214FD"/>
    <w:rsid w:val="1BA95176"/>
    <w:rsid w:val="1BE32BB3"/>
    <w:rsid w:val="1BE74FC1"/>
    <w:rsid w:val="1C0E4241"/>
    <w:rsid w:val="1C4B78F1"/>
    <w:rsid w:val="1C634573"/>
    <w:rsid w:val="1C8F1FD2"/>
    <w:rsid w:val="1CB17D58"/>
    <w:rsid w:val="1CD07665"/>
    <w:rsid w:val="1CDA364E"/>
    <w:rsid w:val="1D9E27ED"/>
    <w:rsid w:val="1DAA6CB0"/>
    <w:rsid w:val="1DE008F5"/>
    <w:rsid w:val="1DE150CA"/>
    <w:rsid w:val="1DF56E01"/>
    <w:rsid w:val="1DF83E91"/>
    <w:rsid w:val="1E14059F"/>
    <w:rsid w:val="1E391DB3"/>
    <w:rsid w:val="1E3B4288"/>
    <w:rsid w:val="1E546BED"/>
    <w:rsid w:val="1E9B33C4"/>
    <w:rsid w:val="1E9D7D30"/>
    <w:rsid w:val="1EB678A8"/>
    <w:rsid w:val="1EC651AE"/>
    <w:rsid w:val="1ECB41E9"/>
    <w:rsid w:val="1ED075BB"/>
    <w:rsid w:val="1EE55C83"/>
    <w:rsid w:val="1EFA7794"/>
    <w:rsid w:val="1F391CC9"/>
    <w:rsid w:val="1FB618FD"/>
    <w:rsid w:val="1FE94BB3"/>
    <w:rsid w:val="1FEF4E1F"/>
    <w:rsid w:val="208E16D7"/>
    <w:rsid w:val="20C86C83"/>
    <w:rsid w:val="20EE157B"/>
    <w:rsid w:val="21246D4B"/>
    <w:rsid w:val="214142A7"/>
    <w:rsid w:val="2151084E"/>
    <w:rsid w:val="2153178B"/>
    <w:rsid w:val="215F1663"/>
    <w:rsid w:val="21892E60"/>
    <w:rsid w:val="21894591"/>
    <w:rsid w:val="21D938F6"/>
    <w:rsid w:val="21E91B4B"/>
    <w:rsid w:val="21F07E49"/>
    <w:rsid w:val="223D0812"/>
    <w:rsid w:val="227218EC"/>
    <w:rsid w:val="22745AB0"/>
    <w:rsid w:val="228B2E1A"/>
    <w:rsid w:val="22D12F9C"/>
    <w:rsid w:val="22D95123"/>
    <w:rsid w:val="22E9024C"/>
    <w:rsid w:val="2309409C"/>
    <w:rsid w:val="23662EAA"/>
    <w:rsid w:val="23812D01"/>
    <w:rsid w:val="23C93EAD"/>
    <w:rsid w:val="23FD7BF1"/>
    <w:rsid w:val="248D6176"/>
    <w:rsid w:val="24B77ED6"/>
    <w:rsid w:val="24C61B55"/>
    <w:rsid w:val="24CA309B"/>
    <w:rsid w:val="24E54A43"/>
    <w:rsid w:val="25301097"/>
    <w:rsid w:val="25753B62"/>
    <w:rsid w:val="25C25C6F"/>
    <w:rsid w:val="25C66622"/>
    <w:rsid w:val="25D634CF"/>
    <w:rsid w:val="25F54FBD"/>
    <w:rsid w:val="262554F7"/>
    <w:rsid w:val="263A3A88"/>
    <w:rsid w:val="26443A90"/>
    <w:rsid w:val="26542FC2"/>
    <w:rsid w:val="26644711"/>
    <w:rsid w:val="267C4F33"/>
    <w:rsid w:val="26972892"/>
    <w:rsid w:val="26A04868"/>
    <w:rsid w:val="26A70868"/>
    <w:rsid w:val="26AE5C9A"/>
    <w:rsid w:val="26BD689F"/>
    <w:rsid w:val="26C268E9"/>
    <w:rsid w:val="26CC2D07"/>
    <w:rsid w:val="273A1E1C"/>
    <w:rsid w:val="2746611E"/>
    <w:rsid w:val="27533EE6"/>
    <w:rsid w:val="27E92626"/>
    <w:rsid w:val="28047780"/>
    <w:rsid w:val="28344BDC"/>
    <w:rsid w:val="28A2203C"/>
    <w:rsid w:val="28EA61B0"/>
    <w:rsid w:val="294D468F"/>
    <w:rsid w:val="29B9024C"/>
    <w:rsid w:val="29CB3832"/>
    <w:rsid w:val="2A69535D"/>
    <w:rsid w:val="2A872905"/>
    <w:rsid w:val="2A8809B3"/>
    <w:rsid w:val="2AF34A1E"/>
    <w:rsid w:val="2B064FE2"/>
    <w:rsid w:val="2B393BBA"/>
    <w:rsid w:val="2B3A1910"/>
    <w:rsid w:val="2B406E77"/>
    <w:rsid w:val="2B7F2E0B"/>
    <w:rsid w:val="2B9F3B9D"/>
    <w:rsid w:val="2BA0741C"/>
    <w:rsid w:val="2BBB12AA"/>
    <w:rsid w:val="2C067BE7"/>
    <w:rsid w:val="2C09459B"/>
    <w:rsid w:val="2C7A7020"/>
    <w:rsid w:val="2CA366B3"/>
    <w:rsid w:val="2CC969F8"/>
    <w:rsid w:val="2CD52E84"/>
    <w:rsid w:val="2CFA0F56"/>
    <w:rsid w:val="2CFE5B63"/>
    <w:rsid w:val="2D015A4D"/>
    <w:rsid w:val="2D2E3AF8"/>
    <w:rsid w:val="2D38403A"/>
    <w:rsid w:val="2DC07DFB"/>
    <w:rsid w:val="2DE40802"/>
    <w:rsid w:val="2E27037F"/>
    <w:rsid w:val="2E346CB0"/>
    <w:rsid w:val="2E362BC9"/>
    <w:rsid w:val="2E400F3C"/>
    <w:rsid w:val="2E445A53"/>
    <w:rsid w:val="2E60060C"/>
    <w:rsid w:val="2E6F3155"/>
    <w:rsid w:val="2EC27E86"/>
    <w:rsid w:val="2ECA381D"/>
    <w:rsid w:val="2ED96599"/>
    <w:rsid w:val="2F390DD0"/>
    <w:rsid w:val="2F7010FF"/>
    <w:rsid w:val="2F776BDF"/>
    <w:rsid w:val="2F881996"/>
    <w:rsid w:val="2F907336"/>
    <w:rsid w:val="2FA6173C"/>
    <w:rsid w:val="2FAE1F9B"/>
    <w:rsid w:val="2FE47CF2"/>
    <w:rsid w:val="2FFD2D2C"/>
    <w:rsid w:val="30085A89"/>
    <w:rsid w:val="3061660D"/>
    <w:rsid w:val="30881D1B"/>
    <w:rsid w:val="308A74DD"/>
    <w:rsid w:val="3095556F"/>
    <w:rsid w:val="310F4EEA"/>
    <w:rsid w:val="311A42B6"/>
    <w:rsid w:val="312D157B"/>
    <w:rsid w:val="317B1505"/>
    <w:rsid w:val="31E4451B"/>
    <w:rsid w:val="31E80027"/>
    <w:rsid w:val="32152108"/>
    <w:rsid w:val="324500E4"/>
    <w:rsid w:val="326B1236"/>
    <w:rsid w:val="328F6057"/>
    <w:rsid w:val="32921473"/>
    <w:rsid w:val="32B1069F"/>
    <w:rsid w:val="32BE5007"/>
    <w:rsid w:val="32CB34CA"/>
    <w:rsid w:val="32D0096E"/>
    <w:rsid w:val="32E464EF"/>
    <w:rsid w:val="332A646A"/>
    <w:rsid w:val="334F571B"/>
    <w:rsid w:val="338213DC"/>
    <w:rsid w:val="338C7A43"/>
    <w:rsid w:val="33F97BC3"/>
    <w:rsid w:val="353662C7"/>
    <w:rsid w:val="35372441"/>
    <w:rsid w:val="354F2F67"/>
    <w:rsid w:val="35627637"/>
    <w:rsid w:val="35DD44FD"/>
    <w:rsid w:val="366018B0"/>
    <w:rsid w:val="36736724"/>
    <w:rsid w:val="36A7090F"/>
    <w:rsid w:val="36D641EB"/>
    <w:rsid w:val="37143942"/>
    <w:rsid w:val="37185A50"/>
    <w:rsid w:val="377777EA"/>
    <w:rsid w:val="37A25F09"/>
    <w:rsid w:val="37B0615E"/>
    <w:rsid w:val="37B51E93"/>
    <w:rsid w:val="38417AF2"/>
    <w:rsid w:val="38443DF7"/>
    <w:rsid w:val="38495B2A"/>
    <w:rsid w:val="386355BB"/>
    <w:rsid w:val="3866555D"/>
    <w:rsid w:val="38961804"/>
    <w:rsid w:val="38961E84"/>
    <w:rsid w:val="38997BC6"/>
    <w:rsid w:val="38BA6970"/>
    <w:rsid w:val="38F8669B"/>
    <w:rsid w:val="392B1D20"/>
    <w:rsid w:val="394A08B3"/>
    <w:rsid w:val="39777F08"/>
    <w:rsid w:val="39E436EC"/>
    <w:rsid w:val="3A1C460B"/>
    <w:rsid w:val="3A3951BD"/>
    <w:rsid w:val="3A4A5F9F"/>
    <w:rsid w:val="3A712EBE"/>
    <w:rsid w:val="3A923675"/>
    <w:rsid w:val="3A996A40"/>
    <w:rsid w:val="3A9C74FA"/>
    <w:rsid w:val="3ACC7DF3"/>
    <w:rsid w:val="3AFD268F"/>
    <w:rsid w:val="3B0F0FB6"/>
    <w:rsid w:val="3B560E88"/>
    <w:rsid w:val="3BB43A35"/>
    <w:rsid w:val="3BD77A63"/>
    <w:rsid w:val="3BFB02D1"/>
    <w:rsid w:val="3C126AFB"/>
    <w:rsid w:val="3C1C3516"/>
    <w:rsid w:val="3C221C81"/>
    <w:rsid w:val="3C492610"/>
    <w:rsid w:val="3C541A88"/>
    <w:rsid w:val="3C9E294C"/>
    <w:rsid w:val="3CAE19C9"/>
    <w:rsid w:val="3D177EBA"/>
    <w:rsid w:val="3D377F17"/>
    <w:rsid w:val="3D670293"/>
    <w:rsid w:val="3D6E0485"/>
    <w:rsid w:val="3D70786A"/>
    <w:rsid w:val="3D7E738B"/>
    <w:rsid w:val="3DAC7D8E"/>
    <w:rsid w:val="3DC155B7"/>
    <w:rsid w:val="3DCF1A87"/>
    <w:rsid w:val="3DD86A9B"/>
    <w:rsid w:val="3DE94494"/>
    <w:rsid w:val="3E2F3835"/>
    <w:rsid w:val="3E327C95"/>
    <w:rsid w:val="3E3917A3"/>
    <w:rsid w:val="3E5556B4"/>
    <w:rsid w:val="3E7852F6"/>
    <w:rsid w:val="3E90381A"/>
    <w:rsid w:val="3E9150A6"/>
    <w:rsid w:val="3E984BCD"/>
    <w:rsid w:val="3EC42180"/>
    <w:rsid w:val="3EF35840"/>
    <w:rsid w:val="3F1D4F90"/>
    <w:rsid w:val="3F2A5CCE"/>
    <w:rsid w:val="3F760C61"/>
    <w:rsid w:val="3F79317A"/>
    <w:rsid w:val="3F813DAF"/>
    <w:rsid w:val="3F8B7CFA"/>
    <w:rsid w:val="3FF83425"/>
    <w:rsid w:val="3FFE14D4"/>
    <w:rsid w:val="4003196D"/>
    <w:rsid w:val="400A5336"/>
    <w:rsid w:val="406C5A4F"/>
    <w:rsid w:val="40775F83"/>
    <w:rsid w:val="40896A41"/>
    <w:rsid w:val="40B52091"/>
    <w:rsid w:val="40D7383D"/>
    <w:rsid w:val="40F76323"/>
    <w:rsid w:val="410A51EB"/>
    <w:rsid w:val="413D094E"/>
    <w:rsid w:val="414F2C34"/>
    <w:rsid w:val="41690C8C"/>
    <w:rsid w:val="417B3378"/>
    <w:rsid w:val="421F4820"/>
    <w:rsid w:val="42206C63"/>
    <w:rsid w:val="424D441A"/>
    <w:rsid w:val="42895EB8"/>
    <w:rsid w:val="429C278D"/>
    <w:rsid w:val="42C00085"/>
    <w:rsid w:val="42F06DEE"/>
    <w:rsid w:val="42F157B6"/>
    <w:rsid w:val="43120EFC"/>
    <w:rsid w:val="431C38CE"/>
    <w:rsid w:val="43496F57"/>
    <w:rsid w:val="436E253B"/>
    <w:rsid w:val="438574C7"/>
    <w:rsid w:val="43D14AC5"/>
    <w:rsid w:val="43F64F0D"/>
    <w:rsid w:val="44064915"/>
    <w:rsid w:val="44070E42"/>
    <w:rsid w:val="44186A5F"/>
    <w:rsid w:val="444104BA"/>
    <w:rsid w:val="444C3E6B"/>
    <w:rsid w:val="444E5D09"/>
    <w:rsid w:val="44512DD0"/>
    <w:rsid w:val="44542620"/>
    <w:rsid w:val="446C6A68"/>
    <w:rsid w:val="447A4B1D"/>
    <w:rsid w:val="44827761"/>
    <w:rsid w:val="4489594E"/>
    <w:rsid w:val="44983621"/>
    <w:rsid w:val="458F497A"/>
    <w:rsid w:val="45A430AC"/>
    <w:rsid w:val="45B63B66"/>
    <w:rsid w:val="45E74CCB"/>
    <w:rsid w:val="46252A99"/>
    <w:rsid w:val="462959BD"/>
    <w:rsid w:val="46367216"/>
    <w:rsid w:val="465B470D"/>
    <w:rsid w:val="46661EB1"/>
    <w:rsid w:val="46A41356"/>
    <w:rsid w:val="46AE0CE1"/>
    <w:rsid w:val="46D30747"/>
    <w:rsid w:val="46D750A3"/>
    <w:rsid w:val="474E6020"/>
    <w:rsid w:val="47C02A7A"/>
    <w:rsid w:val="47F32ED0"/>
    <w:rsid w:val="47F513B1"/>
    <w:rsid w:val="4803505C"/>
    <w:rsid w:val="48082472"/>
    <w:rsid w:val="48102BB3"/>
    <w:rsid w:val="4836539F"/>
    <w:rsid w:val="48531B40"/>
    <w:rsid w:val="485A72DE"/>
    <w:rsid w:val="488834C7"/>
    <w:rsid w:val="48A56114"/>
    <w:rsid w:val="48C43F8D"/>
    <w:rsid w:val="48FA645F"/>
    <w:rsid w:val="492D2391"/>
    <w:rsid w:val="49362747"/>
    <w:rsid w:val="4969001C"/>
    <w:rsid w:val="49847F45"/>
    <w:rsid w:val="498D53F3"/>
    <w:rsid w:val="49901C9D"/>
    <w:rsid w:val="49A86D63"/>
    <w:rsid w:val="49C820BA"/>
    <w:rsid w:val="49ED647D"/>
    <w:rsid w:val="4A314103"/>
    <w:rsid w:val="4A73740A"/>
    <w:rsid w:val="4A8F4985"/>
    <w:rsid w:val="4A9B3632"/>
    <w:rsid w:val="4AB80051"/>
    <w:rsid w:val="4AC30A2F"/>
    <w:rsid w:val="4AC365B4"/>
    <w:rsid w:val="4AD13FE3"/>
    <w:rsid w:val="4AD55B10"/>
    <w:rsid w:val="4AE14F08"/>
    <w:rsid w:val="4AFA36EE"/>
    <w:rsid w:val="4B0D6550"/>
    <w:rsid w:val="4B9118E5"/>
    <w:rsid w:val="4C3F22AD"/>
    <w:rsid w:val="4C433587"/>
    <w:rsid w:val="4C5B006E"/>
    <w:rsid w:val="4CB66F68"/>
    <w:rsid w:val="4CBB318E"/>
    <w:rsid w:val="4D1A76EE"/>
    <w:rsid w:val="4D1E76C2"/>
    <w:rsid w:val="4D700B70"/>
    <w:rsid w:val="4D8C639D"/>
    <w:rsid w:val="4DC60F7F"/>
    <w:rsid w:val="4DE12B69"/>
    <w:rsid w:val="4DF76C0F"/>
    <w:rsid w:val="4E335FC5"/>
    <w:rsid w:val="4E643B05"/>
    <w:rsid w:val="4E6B5D7D"/>
    <w:rsid w:val="4EA04480"/>
    <w:rsid w:val="4EDD2163"/>
    <w:rsid w:val="4F0E67C1"/>
    <w:rsid w:val="4F626444"/>
    <w:rsid w:val="4FB36DEC"/>
    <w:rsid w:val="4FE021C4"/>
    <w:rsid w:val="4FF62BA4"/>
    <w:rsid w:val="4FF74E86"/>
    <w:rsid w:val="50081462"/>
    <w:rsid w:val="501F67AB"/>
    <w:rsid w:val="509C58BA"/>
    <w:rsid w:val="50B67110"/>
    <w:rsid w:val="50BA1715"/>
    <w:rsid w:val="50BB6B2A"/>
    <w:rsid w:val="510460CD"/>
    <w:rsid w:val="51234079"/>
    <w:rsid w:val="51984867"/>
    <w:rsid w:val="51E136B6"/>
    <w:rsid w:val="51E41A5B"/>
    <w:rsid w:val="52383444"/>
    <w:rsid w:val="524F13EF"/>
    <w:rsid w:val="525E473F"/>
    <w:rsid w:val="52A87D5A"/>
    <w:rsid w:val="52D27B05"/>
    <w:rsid w:val="52E31FE1"/>
    <w:rsid w:val="52F110D3"/>
    <w:rsid w:val="533018D3"/>
    <w:rsid w:val="539227A8"/>
    <w:rsid w:val="53B71706"/>
    <w:rsid w:val="53EE6A07"/>
    <w:rsid w:val="54047FAA"/>
    <w:rsid w:val="54166D17"/>
    <w:rsid w:val="54331D94"/>
    <w:rsid w:val="54363783"/>
    <w:rsid w:val="54692E0D"/>
    <w:rsid w:val="5475763E"/>
    <w:rsid w:val="548A061A"/>
    <w:rsid w:val="54B06195"/>
    <w:rsid w:val="54B06CDD"/>
    <w:rsid w:val="55094C59"/>
    <w:rsid w:val="550A2B92"/>
    <w:rsid w:val="551236C0"/>
    <w:rsid w:val="553636D5"/>
    <w:rsid w:val="558C0718"/>
    <w:rsid w:val="559F6CC5"/>
    <w:rsid w:val="55B9695A"/>
    <w:rsid w:val="55BF2DDB"/>
    <w:rsid w:val="56151906"/>
    <w:rsid w:val="56217C11"/>
    <w:rsid w:val="56242EE4"/>
    <w:rsid w:val="563E29EF"/>
    <w:rsid w:val="56466C64"/>
    <w:rsid w:val="565E627F"/>
    <w:rsid w:val="56835CE6"/>
    <w:rsid w:val="56BD75D8"/>
    <w:rsid w:val="57172304"/>
    <w:rsid w:val="57247512"/>
    <w:rsid w:val="57544F8D"/>
    <w:rsid w:val="5758166F"/>
    <w:rsid w:val="57643691"/>
    <w:rsid w:val="58203F56"/>
    <w:rsid w:val="58321523"/>
    <w:rsid w:val="58444CBD"/>
    <w:rsid w:val="5886561A"/>
    <w:rsid w:val="58BB529D"/>
    <w:rsid w:val="58CD4A56"/>
    <w:rsid w:val="58FA484A"/>
    <w:rsid w:val="595128D6"/>
    <w:rsid w:val="59525440"/>
    <w:rsid w:val="595A2800"/>
    <w:rsid w:val="59647A8C"/>
    <w:rsid w:val="596C1CE3"/>
    <w:rsid w:val="597A333C"/>
    <w:rsid w:val="599F088C"/>
    <w:rsid w:val="59A86D05"/>
    <w:rsid w:val="59AA55BB"/>
    <w:rsid w:val="59F93409"/>
    <w:rsid w:val="5A146E0A"/>
    <w:rsid w:val="5A185705"/>
    <w:rsid w:val="5A3B264B"/>
    <w:rsid w:val="5A5D74CA"/>
    <w:rsid w:val="5A615335"/>
    <w:rsid w:val="5A755E1D"/>
    <w:rsid w:val="5A9A1850"/>
    <w:rsid w:val="5AA17BDB"/>
    <w:rsid w:val="5ABB411E"/>
    <w:rsid w:val="5B6D0D13"/>
    <w:rsid w:val="5B83605B"/>
    <w:rsid w:val="5BBE0918"/>
    <w:rsid w:val="5BC56459"/>
    <w:rsid w:val="5BE61FD0"/>
    <w:rsid w:val="5C3D0DE2"/>
    <w:rsid w:val="5C595E6E"/>
    <w:rsid w:val="5C765986"/>
    <w:rsid w:val="5C9F47F5"/>
    <w:rsid w:val="5CA02A22"/>
    <w:rsid w:val="5CA638D6"/>
    <w:rsid w:val="5CA755D4"/>
    <w:rsid w:val="5CB07976"/>
    <w:rsid w:val="5D2E121F"/>
    <w:rsid w:val="5E7968A6"/>
    <w:rsid w:val="5E9947F2"/>
    <w:rsid w:val="5EF04839"/>
    <w:rsid w:val="5EF534F9"/>
    <w:rsid w:val="5F0F75F0"/>
    <w:rsid w:val="5F37482C"/>
    <w:rsid w:val="5F43694E"/>
    <w:rsid w:val="5F4F0BAF"/>
    <w:rsid w:val="5F8A2976"/>
    <w:rsid w:val="5F8D54E0"/>
    <w:rsid w:val="5FFE7E32"/>
    <w:rsid w:val="602B6AA7"/>
    <w:rsid w:val="602F47E9"/>
    <w:rsid w:val="602F6AE1"/>
    <w:rsid w:val="609E54CA"/>
    <w:rsid w:val="60C24C13"/>
    <w:rsid w:val="60CC2209"/>
    <w:rsid w:val="61053BFE"/>
    <w:rsid w:val="613228FD"/>
    <w:rsid w:val="616B2F2E"/>
    <w:rsid w:val="617374B7"/>
    <w:rsid w:val="61881DE1"/>
    <w:rsid w:val="619D4372"/>
    <w:rsid w:val="61A62889"/>
    <w:rsid w:val="61B27E94"/>
    <w:rsid w:val="61CD6067"/>
    <w:rsid w:val="61D81D79"/>
    <w:rsid w:val="61FD282A"/>
    <w:rsid w:val="620E56DF"/>
    <w:rsid w:val="62821148"/>
    <w:rsid w:val="62976AEB"/>
    <w:rsid w:val="62BE4ED9"/>
    <w:rsid w:val="62C21E48"/>
    <w:rsid w:val="62E71914"/>
    <w:rsid w:val="63182A09"/>
    <w:rsid w:val="6323733D"/>
    <w:rsid w:val="63302D52"/>
    <w:rsid w:val="635A531B"/>
    <w:rsid w:val="637A7B6D"/>
    <w:rsid w:val="63CA3D09"/>
    <w:rsid w:val="63E21779"/>
    <w:rsid w:val="640D49DC"/>
    <w:rsid w:val="64247D75"/>
    <w:rsid w:val="64346D94"/>
    <w:rsid w:val="643D4284"/>
    <w:rsid w:val="64445EA1"/>
    <w:rsid w:val="648B3FB8"/>
    <w:rsid w:val="648B65D5"/>
    <w:rsid w:val="64EE70DB"/>
    <w:rsid w:val="65333A02"/>
    <w:rsid w:val="65584B18"/>
    <w:rsid w:val="65C66850"/>
    <w:rsid w:val="66382AD3"/>
    <w:rsid w:val="663F30F5"/>
    <w:rsid w:val="66426F52"/>
    <w:rsid w:val="664B5E8D"/>
    <w:rsid w:val="66521231"/>
    <w:rsid w:val="6664182B"/>
    <w:rsid w:val="66723C71"/>
    <w:rsid w:val="669C425A"/>
    <w:rsid w:val="66A30C9A"/>
    <w:rsid w:val="66A82AE0"/>
    <w:rsid w:val="66BB6E7B"/>
    <w:rsid w:val="66D75AA1"/>
    <w:rsid w:val="66F1077E"/>
    <w:rsid w:val="66FF388C"/>
    <w:rsid w:val="672C33FA"/>
    <w:rsid w:val="6754503C"/>
    <w:rsid w:val="675E2E42"/>
    <w:rsid w:val="675F53BA"/>
    <w:rsid w:val="67692BD0"/>
    <w:rsid w:val="678B49FB"/>
    <w:rsid w:val="67BD092C"/>
    <w:rsid w:val="68183DB4"/>
    <w:rsid w:val="682978C8"/>
    <w:rsid w:val="6863201F"/>
    <w:rsid w:val="687A681D"/>
    <w:rsid w:val="688E4077"/>
    <w:rsid w:val="68CD4ED2"/>
    <w:rsid w:val="68D91072"/>
    <w:rsid w:val="68F933EA"/>
    <w:rsid w:val="693B7312"/>
    <w:rsid w:val="6950001D"/>
    <w:rsid w:val="696E3567"/>
    <w:rsid w:val="697D6BA0"/>
    <w:rsid w:val="69B74E77"/>
    <w:rsid w:val="69D1246D"/>
    <w:rsid w:val="69D41930"/>
    <w:rsid w:val="69D576B1"/>
    <w:rsid w:val="69E95AB6"/>
    <w:rsid w:val="6A1A2624"/>
    <w:rsid w:val="6A434541"/>
    <w:rsid w:val="6A47736E"/>
    <w:rsid w:val="6A6634FD"/>
    <w:rsid w:val="6A6C4640"/>
    <w:rsid w:val="6A701DAD"/>
    <w:rsid w:val="6AAB7162"/>
    <w:rsid w:val="6AB33259"/>
    <w:rsid w:val="6AC36B8F"/>
    <w:rsid w:val="6ACB3360"/>
    <w:rsid w:val="6B9102CC"/>
    <w:rsid w:val="6BD821D8"/>
    <w:rsid w:val="6C6D6D39"/>
    <w:rsid w:val="6CAD189F"/>
    <w:rsid w:val="6CCE6C6E"/>
    <w:rsid w:val="6CD56718"/>
    <w:rsid w:val="6CD93A6B"/>
    <w:rsid w:val="6CF941B4"/>
    <w:rsid w:val="6D0D5F7A"/>
    <w:rsid w:val="6D287748"/>
    <w:rsid w:val="6D2D13C0"/>
    <w:rsid w:val="6D7E1671"/>
    <w:rsid w:val="6D8C3992"/>
    <w:rsid w:val="6D901199"/>
    <w:rsid w:val="6D9B34BE"/>
    <w:rsid w:val="6DCD0973"/>
    <w:rsid w:val="6DED3E8B"/>
    <w:rsid w:val="6E250FD9"/>
    <w:rsid w:val="6E3556C0"/>
    <w:rsid w:val="6E3D3B16"/>
    <w:rsid w:val="6E470F4F"/>
    <w:rsid w:val="6E605061"/>
    <w:rsid w:val="6E7B6E4B"/>
    <w:rsid w:val="6E8A25BC"/>
    <w:rsid w:val="6EB50BA0"/>
    <w:rsid w:val="6ED1674D"/>
    <w:rsid w:val="6ED47A93"/>
    <w:rsid w:val="6ED52173"/>
    <w:rsid w:val="6EE17826"/>
    <w:rsid w:val="6F123851"/>
    <w:rsid w:val="6F1F4BDB"/>
    <w:rsid w:val="6F293C8F"/>
    <w:rsid w:val="6F72024E"/>
    <w:rsid w:val="6F834209"/>
    <w:rsid w:val="6FF31222"/>
    <w:rsid w:val="6FF32F9F"/>
    <w:rsid w:val="70072083"/>
    <w:rsid w:val="701F03D6"/>
    <w:rsid w:val="7038252B"/>
    <w:rsid w:val="704020FA"/>
    <w:rsid w:val="705E7AFE"/>
    <w:rsid w:val="70744A3C"/>
    <w:rsid w:val="70765B1C"/>
    <w:rsid w:val="708E13D4"/>
    <w:rsid w:val="70980188"/>
    <w:rsid w:val="709D69C4"/>
    <w:rsid w:val="70EA1C95"/>
    <w:rsid w:val="711E1E6A"/>
    <w:rsid w:val="71341C5F"/>
    <w:rsid w:val="713E6FC7"/>
    <w:rsid w:val="717B6963"/>
    <w:rsid w:val="718E2787"/>
    <w:rsid w:val="71AC0316"/>
    <w:rsid w:val="71E55E05"/>
    <w:rsid w:val="71FF5840"/>
    <w:rsid w:val="72280003"/>
    <w:rsid w:val="7236565A"/>
    <w:rsid w:val="723B3782"/>
    <w:rsid w:val="723D2699"/>
    <w:rsid w:val="72404633"/>
    <w:rsid w:val="7244617C"/>
    <w:rsid w:val="72962054"/>
    <w:rsid w:val="72C6583F"/>
    <w:rsid w:val="72D3559A"/>
    <w:rsid w:val="732313B8"/>
    <w:rsid w:val="73510D90"/>
    <w:rsid w:val="73656D2A"/>
    <w:rsid w:val="73852C46"/>
    <w:rsid w:val="738B5D82"/>
    <w:rsid w:val="73912944"/>
    <w:rsid w:val="73927CFE"/>
    <w:rsid w:val="73961E18"/>
    <w:rsid w:val="73EB532F"/>
    <w:rsid w:val="73EC1A37"/>
    <w:rsid w:val="741A6DED"/>
    <w:rsid w:val="742E2554"/>
    <w:rsid w:val="746E2840"/>
    <w:rsid w:val="748C03E0"/>
    <w:rsid w:val="74AC669D"/>
    <w:rsid w:val="74D84FF7"/>
    <w:rsid w:val="74D873D7"/>
    <w:rsid w:val="74F33BDF"/>
    <w:rsid w:val="74F82FA3"/>
    <w:rsid w:val="75594B94"/>
    <w:rsid w:val="75664853"/>
    <w:rsid w:val="756D3D54"/>
    <w:rsid w:val="758B13D3"/>
    <w:rsid w:val="75B833F6"/>
    <w:rsid w:val="75B95618"/>
    <w:rsid w:val="76257951"/>
    <w:rsid w:val="763D4F92"/>
    <w:rsid w:val="7656372F"/>
    <w:rsid w:val="76A85F9E"/>
    <w:rsid w:val="76DA47D9"/>
    <w:rsid w:val="76F43C07"/>
    <w:rsid w:val="771001A6"/>
    <w:rsid w:val="77514BED"/>
    <w:rsid w:val="77796881"/>
    <w:rsid w:val="77816A17"/>
    <w:rsid w:val="778C5745"/>
    <w:rsid w:val="77AD7E13"/>
    <w:rsid w:val="77BD38D4"/>
    <w:rsid w:val="77C55536"/>
    <w:rsid w:val="77D00D41"/>
    <w:rsid w:val="77D73344"/>
    <w:rsid w:val="77F2017E"/>
    <w:rsid w:val="781E71C5"/>
    <w:rsid w:val="7826482C"/>
    <w:rsid w:val="78420344"/>
    <w:rsid w:val="78781AA4"/>
    <w:rsid w:val="78BF05B7"/>
    <w:rsid w:val="78C963B8"/>
    <w:rsid w:val="78D472A4"/>
    <w:rsid w:val="7950779E"/>
    <w:rsid w:val="79777D7F"/>
    <w:rsid w:val="7989477D"/>
    <w:rsid w:val="79B24069"/>
    <w:rsid w:val="79BF6E73"/>
    <w:rsid w:val="7A1B6EF0"/>
    <w:rsid w:val="7AA25581"/>
    <w:rsid w:val="7AE84E0C"/>
    <w:rsid w:val="7B01022D"/>
    <w:rsid w:val="7B024B7C"/>
    <w:rsid w:val="7B20014C"/>
    <w:rsid w:val="7B5F3D7C"/>
    <w:rsid w:val="7B803CF3"/>
    <w:rsid w:val="7BC77B74"/>
    <w:rsid w:val="7BD24B39"/>
    <w:rsid w:val="7BE73D72"/>
    <w:rsid w:val="7BFFB94A"/>
    <w:rsid w:val="7C0C0E4A"/>
    <w:rsid w:val="7C241CA2"/>
    <w:rsid w:val="7C492337"/>
    <w:rsid w:val="7C4A2A5F"/>
    <w:rsid w:val="7C765821"/>
    <w:rsid w:val="7C9A7D78"/>
    <w:rsid w:val="7D3111DC"/>
    <w:rsid w:val="7D621DD5"/>
    <w:rsid w:val="7D6554C4"/>
    <w:rsid w:val="7D7A2A15"/>
    <w:rsid w:val="7D7F149A"/>
    <w:rsid w:val="7D9315D3"/>
    <w:rsid w:val="7D943BB7"/>
    <w:rsid w:val="7DAB324B"/>
    <w:rsid w:val="7DB21332"/>
    <w:rsid w:val="7DB93A92"/>
    <w:rsid w:val="7DCD6159"/>
    <w:rsid w:val="7DD82A51"/>
    <w:rsid w:val="7DD93C57"/>
    <w:rsid w:val="7DE62736"/>
    <w:rsid w:val="7E491D09"/>
    <w:rsid w:val="7E6143A9"/>
    <w:rsid w:val="7E8D7068"/>
    <w:rsid w:val="7E9755DB"/>
    <w:rsid w:val="7E9B2FD9"/>
    <w:rsid w:val="7EBD1A73"/>
    <w:rsid w:val="7EEA2D17"/>
    <w:rsid w:val="7F5F119D"/>
    <w:rsid w:val="7F604567"/>
    <w:rsid w:val="7FDD3FC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jc w:val="left"/>
      <w:outlineLvl w:val="0"/>
    </w:pPr>
    <w:rPr>
      <w:rFonts w:hint="eastAsia" w:ascii="宋体" w:hAnsi="宋体" w:eastAsia="宋体" w:cs="Times New Roman"/>
      <w:b/>
      <w:kern w:val="44"/>
      <w:sz w:val="24"/>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宋体" w:hAnsi="宋体" w:eastAsia="宋体" w:cs="宋体"/>
      <w:szCs w:val="21"/>
      <w:lang w:val="zh-CN" w:bidi="zh-CN"/>
    </w:rPr>
  </w:style>
  <w:style w:type="paragraph" w:styleId="3">
    <w:name w:val="Body Text First Indent"/>
    <w:basedOn w:val="2"/>
    <w:next w:val="1"/>
    <w:qFormat/>
    <w:uiPriority w:val="0"/>
    <w:pPr>
      <w:spacing w:after="120"/>
      <w:ind w:firstLine="420" w:firstLineChars="100"/>
    </w:pPr>
  </w:style>
  <w:style w:type="paragraph" w:styleId="5">
    <w:name w:val="Block Text"/>
    <w:basedOn w:val="1"/>
    <w:qFormat/>
    <w:uiPriority w:val="0"/>
    <w:pPr>
      <w:ind w:left="-899" w:leftChars="-428" w:right="-693" w:rightChars="-330" w:firstLine="420" w:firstLineChars="200"/>
    </w:pPr>
    <w:rPr>
      <w:rFonts w:ascii="Times New Roman" w:hAnsi="Times New Roman" w:eastAsia="宋体" w:cs="Times New Roman"/>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rPr>
  </w:style>
  <w:style w:type="character" w:styleId="12">
    <w:name w:val="FollowedHyperlink"/>
    <w:basedOn w:val="10"/>
    <w:semiHidden/>
    <w:unhideWhenUsed/>
    <w:qFormat/>
    <w:uiPriority w:val="99"/>
    <w:rPr>
      <w:color w:val="333333"/>
      <w:u w:val="none"/>
    </w:rPr>
  </w:style>
  <w:style w:type="character" w:styleId="13">
    <w:name w:val="Emphasis"/>
    <w:basedOn w:val="10"/>
    <w:qFormat/>
    <w:uiPriority w:val="20"/>
  </w:style>
  <w:style w:type="character" w:styleId="14">
    <w:name w:val="HTML Definition"/>
    <w:basedOn w:val="10"/>
    <w:semiHidden/>
    <w:unhideWhenUsed/>
    <w:qFormat/>
    <w:uiPriority w:val="99"/>
    <w:rPr>
      <w:i/>
    </w:rPr>
  </w:style>
  <w:style w:type="character" w:styleId="15">
    <w:name w:val="HTML Acronym"/>
    <w:basedOn w:val="10"/>
    <w:semiHidden/>
    <w:unhideWhenUsed/>
    <w:qFormat/>
    <w:uiPriority w:val="99"/>
  </w:style>
  <w:style w:type="character" w:styleId="16">
    <w:name w:val="HTML Variable"/>
    <w:basedOn w:val="10"/>
    <w:semiHidden/>
    <w:unhideWhenUsed/>
    <w:qFormat/>
    <w:uiPriority w:val="99"/>
    <w:rPr>
      <w:i/>
    </w:rPr>
  </w:style>
  <w:style w:type="character" w:styleId="17">
    <w:name w:val="Hyperlink"/>
    <w:basedOn w:val="10"/>
    <w:semiHidden/>
    <w:unhideWhenUsed/>
    <w:qFormat/>
    <w:uiPriority w:val="99"/>
    <w:rPr>
      <w:color w:val="333333"/>
      <w:u w:val="none"/>
    </w:rPr>
  </w:style>
  <w:style w:type="character" w:styleId="18">
    <w:name w:val="HTML Code"/>
    <w:basedOn w:val="10"/>
    <w:semiHidden/>
    <w:unhideWhenUsed/>
    <w:qFormat/>
    <w:uiPriority w:val="99"/>
    <w:rPr>
      <w:rFonts w:ascii="Courier New" w:hAnsi="Courier New"/>
      <w:sz w:val="20"/>
    </w:rPr>
  </w:style>
  <w:style w:type="character" w:styleId="19">
    <w:name w:val="HTML Cite"/>
    <w:basedOn w:val="10"/>
    <w:semiHidden/>
    <w:unhideWhenUsed/>
    <w:qFormat/>
    <w:uiPriority w:val="99"/>
    <w:rPr>
      <w:i/>
    </w:rPr>
  </w:style>
  <w:style w:type="paragraph" w:styleId="20">
    <w:name w:val="List Paragraph"/>
    <w:basedOn w:val="1"/>
    <w:qFormat/>
    <w:uiPriority w:val="34"/>
    <w:pPr>
      <w:ind w:firstLine="420" w:firstLineChars="200"/>
    </w:pPr>
  </w:style>
  <w:style w:type="character" w:customStyle="1" w:styleId="21">
    <w:name w:val="sq"/>
    <w:basedOn w:val="10"/>
    <w:qFormat/>
    <w:uiPriority w:val="0"/>
  </w:style>
  <w:style w:type="character" w:customStyle="1" w:styleId="22">
    <w:name w:val="引用1"/>
    <w:basedOn w:val="10"/>
    <w:qFormat/>
    <w:uiPriority w:val="0"/>
    <w:rPr>
      <w:color w:val="000000"/>
      <w:bdr w:val="dashed" w:color="BFDFFF" w:sz="6" w:space="0"/>
      <w:shd w:val="clear" w:color="auto" w:fill="F5FB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28</Pages>
  <Words>19067</Words>
  <Characters>20063</Characters>
  <Lines>148</Lines>
  <Paragraphs>41</Paragraphs>
  <TotalTime>0</TotalTime>
  <ScaleCrop>false</ScaleCrop>
  <LinksUpToDate>false</LinksUpToDate>
  <CharactersWithSpaces>20603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2022-01-24T15:20:00Z</dcterms:created>
  <dc:creator>HY</dc:creator>
  <cp:lastModifiedBy>M</cp:lastModifiedBy>
  <dcterms:modified xsi:type="dcterms:W3CDTF">2022-11-04T11:08:07Z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CE09960BA0434C2D871E6518B6EAB9AA</vt:lpwstr>
  </property>
  <property fmtid="{D5CDD505-2E9C-101B-9397-08002B2CF9AE}" pid="4" name="woTemplateTypoMode" linkTarget="0">
    <vt:lpwstr>web</vt:lpwstr>
  </property>
  <property fmtid="{D5CDD505-2E9C-101B-9397-08002B2CF9AE}" pid="5" name="woTemplate" linkTarget="0">
    <vt:i4>1</vt:i4>
  </property>
</Properties>
</file>